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6218" w14:textId="77777777" w:rsidR="003F020B" w:rsidRDefault="00000000">
      <w:pPr>
        <w:spacing w:after="10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아이디어 3번 — 신뢰도 가중 클러스터링</w:t>
      </w:r>
    </w:p>
    <w:p w14:paraId="1139C4F4" w14:textId="77777777" w:rsidR="003F020B" w:rsidRPr="000C265E" w:rsidRDefault="00000000">
      <w:pPr>
        <w:pStyle w:val="1"/>
        <w:spacing w:before="300" w:after="150"/>
        <w:rPr>
          <w:rFonts w:asciiTheme="majorHAnsi" w:eastAsiaTheme="majorHAnsi" w:hAnsiTheme="majorHAnsi"/>
          <w:b/>
          <w:bCs/>
        </w:rPr>
      </w:pPr>
      <w:r w:rsidRPr="000C265E">
        <w:rPr>
          <w:rFonts w:asciiTheme="majorHAnsi" w:eastAsiaTheme="majorHAnsi" w:hAnsiTheme="majorHAnsi"/>
          <w:b/>
          <w:bCs/>
        </w:rPr>
        <w:t>1. 배경 및 목적</w:t>
      </w:r>
    </w:p>
    <w:p w14:paraId="70457424" w14:textId="77777777" w:rsidR="003F020B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>원논문은 클러스터를 형성할 때 모든 박스를 동등하게 취급한다. 그러나 각 박스는 desirability(성능)와 support(근거의 양)가 서로 다르며, 이 차이가 클러스터링에 전혀 반영되지 않는다는 한계가 있다.</w:t>
      </w:r>
    </w:p>
    <w:p w14:paraId="33858F6D" w14:textId="77777777" w:rsidR="003F020B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>아이디어 3번은 각 박스에 '신뢰도' 가중치를 부여하여, 성능이 좋고 근거가 튼튼한 박스가 클러스터 형성에 더 큰 영향력을 갖도록 거리 계산에 반영하는 방법이다. 신뢰도는 다음과 같이 정의한다:</w:t>
      </w:r>
    </w:p>
    <w:p w14:paraId="3C713B54" w14:textId="77777777" w:rsidR="000C265E" w:rsidRPr="001753E1" w:rsidRDefault="00000000" w:rsidP="000C265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˜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˜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rad>
        </m:oMath>
      </m:oMathPara>
    </w:p>
    <w:p w14:paraId="25DC164D" w14:textId="34FBFBEA" w:rsidR="003F020B" w:rsidRDefault="00000000" w:rsidP="000C265E">
      <w:pPr>
        <w:spacing w:after="160"/>
        <w:jc w:val="center"/>
      </w:pPr>
      <w:r>
        <w:rPr>
          <w:rFonts w:ascii="맑은 고딕" w:eastAsia="맑은 고딕" w:hAnsi="맑은 고딕" w:cs="맑은 고딕"/>
          <w:sz w:val="22"/>
          <w:szCs w:val="22"/>
        </w:rPr>
        <w:t xml:space="preserve">(D̃, S̃는 desirability와 support를 각각 [0,1]로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정규화한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값)</w:t>
      </w:r>
    </w:p>
    <w:p w14:paraId="28D427B9" w14:textId="33BF3AD2" w:rsidR="000C265E" w:rsidRPr="008A0386" w:rsidRDefault="00000000" w:rsidP="000C265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가중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m,m'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m,m'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×w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)^</m:t>
              </m:r>
              <m:r>
                <m:rPr>
                  <m:sty m:val="p"/>
                </m:rPr>
                <w:rPr>
                  <w:rFonts w:ascii="Cambria Math" w:eastAsia="맑은 고딕" w:hAnsi="Cambria Math" w:cs="맑은 고딕"/>
                  <w:sz w:val="22"/>
                  <w:szCs w:val="22"/>
                </w:rPr>
                <m:t>γ</m:t>
              </m:r>
            </m:den>
          </m:f>
        </m:oMath>
      </m:oMathPara>
    </w:p>
    <w:p w14:paraId="07504950" w14:textId="5BC4D2B4" w:rsidR="003F020B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>(γ는 가중 반영 강도, γ=0이면 원논문과 동일)</w:t>
      </w:r>
    </w:p>
    <w:p w14:paraId="2E194486" w14:textId="77777777" w:rsidR="003F020B" w:rsidRPr="00EA1BE8" w:rsidRDefault="00000000">
      <w:pPr>
        <w:pStyle w:val="1"/>
        <w:spacing w:before="300" w:after="150"/>
        <w:rPr>
          <w:rFonts w:asciiTheme="majorHAnsi" w:eastAsiaTheme="majorHAnsi" w:hAnsiTheme="majorHAnsi"/>
          <w:b/>
          <w:bCs/>
        </w:rPr>
      </w:pPr>
      <w:r w:rsidRPr="00EA1BE8">
        <w:rPr>
          <w:rFonts w:asciiTheme="majorHAnsi" w:eastAsiaTheme="majorHAnsi" w:hAnsiTheme="majorHAnsi"/>
          <w:b/>
          <w:bCs/>
        </w:rPr>
        <w:t>2. 실험 결과</w:t>
      </w:r>
    </w:p>
    <w:p w14:paraId="1A66A6F1" w14:textId="77777777" w:rsidR="003F020B" w:rsidRPr="00EA1BE8" w:rsidRDefault="00000000">
      <w:pPr>
        <w:pStyle w:val="2"/>
        <w:spacing w:before="240" w:after="120"/>
        <w:rPr>
          <w:rFonts w:asciiTheme="majorHAnsi" w:eastAsiaTheme="majorHAnsi" w:hAnsiTheme="majorHAnsi"/>
          <w:b/>
          <w:bCs/>
        </w:rPr>
      </w:pPr>
      <w:r w:rsidRPr="00EA1BE8">
        <w:rPr>
          <w:rFonts w:asciiTheme="majorHAnsi" w:eastAsiaTheme="majorHAnsi" w:hAnsiTheme="majorHAnsi"/>
          <w:b/>
          <w:bCs/>
        </w:rPr>
        <w:t>2.1 1차 실험 — 표준 설정, γ=1(</w:t>
      </w:r>
      <w:proofErr w:type="spellStart"/>
      <w:r w:rsidRPr="00EA1BE8">
        <w:rPr>
          <w:rFonts w:asciiTheme="majorHAnsi" w:eastAsiaTheme="majorHAnsi" w:hAnsiTheme="majorHAnsi"/>
          <w:b/>
          <w:bCs/>
        </w:rPr>
        <w:t>전강도</w:t>
      </w:r>
      <w:proofErr w:type="spellEnd"/>
      <w:r w:rsidRPr="00EA1BE8">
        <w:rPr>
          <w:rFonts w:asciiTheme="majorHAnsi" w:eastAsiaTheme="majorHAnsi" w:hAnsiTheme="majorHAnsi"/>
          <w:b/>
          <w:bCs/>
        </w:rPr>
        <w:t>) 고정</w:t>
      </w:r>
    </w:p>
    <w:p w14:paraId="6F1F325B" w14:textId="77777777" w:rsidR="003F020B" w:rsidRDefault="00000000">
      <w:pPr>
        <w:spacing w:after="16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표준 설정(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min_support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=100)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으로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만든 박스 2001개에 대해, 먼저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desirability·support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의 편차를 진단했다.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3F020B" w14:paraId="0BB4230E" w14:textId="77777777">
        <w:tc>
          <w:tcPr>
            <w:tcW w:w="4000" w:type="dxa"/>
            <w:shd w:val="clear" w:color="auto" w:fill="D9E2F3"/>
          </w:tcPr>
          <w:p w14:paraId="1ADBBFDA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지표</w:t>
            </w:r>
          </w:p>
        </w:tc>
        <w:tc>
          <w:tcPr>
            <w:tcW w:w="4000" w:type="dxa"/>
            <w:shd w:val="clear" w:color="auto" w:fill="D9E2F3"/>
          </w:tcPr>
          <w:p w14:paraId="7B5BCC28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변동계수(CV)</w:t>
            </w:r>
          </w:p>
        </w:tc>
      </w:tr>
      <w:tr w:rsidR="003F020B" w14:paraId="692C3B8F" w14:textId="77777777">
        <w:tc>
          <w:tcPr>
            <w:tcW w:w="4000" w:type="dxa"/>
          </w:tcPr>
          <w:p w14:paraId="18B181C4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desirability(</w:t>
            </w:r>
            <w:proofErr w:type="spellStart"/>
            <w:r>
              <w:rPr>
                <w:rFonts w:ascii="맑은 고딕" w:eastAsia="맑은 고딕" w:hAnsi="맑은 고딕" w:cs="맑은 고딕"/>
              </w:rPr>
              <w:t>dbar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4000" w:type="dxa"/>
          </w:tcPr>
          <w:p w14:paraId="6CCC0016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0.021</w:t>
            </w:r>
          </w:p>
        </w:tc>
      </w:tr>
      <w:tr w:rsidR="003F020B" w14:paraId="36E0A574" w14:textId="77777777">
        <w:tc>
          <w:tcPr>
            <w:tcW w:w="4000" w:type="dxa"/>
          </w:tcPr>
          <w:p w14:paraId="60F5C89F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support</w:t>
            </w:r>
          </w:p>
        </w:tc>
        <w:tc>
          <w:tcPr>
            <w:tcW w:w="4000" w:type="dxa"/>
          </w:tcPr>
          <w:p w14:paraId="501E5646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0.022</w:t>
            </w:r>
          </w:p>
        </w:tc>
      </w:tr>
    </w:tbl>
    <w:p w14:paraId="63382DCD" w14:textId="77777777" w:rsidR="003F020B" w:rsidRDefault="003F020B">
      <w:pPr>
        <w:spacing w:after="150"/>
      </w:pPr>
    </w:p>
    <w:p w14:paraId="7D42096E" w14:textId="77777777" w:rsidR="003F020B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>편차가 극히 작음(2% 수준)이 확인되었다. 아이디어 2번 실험에서도 확인했듯, 이 데이터셋·방법론은 믿을 만한 박스와 부실한 박스의 다양성이 매우 적게 도출된다. 이 상태에서 신뢰도 가중(γ=1)을 적용한 결과는 다음과 같다.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500"/>
      </w:tblGrid>
      <w:tr w:rsidR="003F020B" w14:paraId="6364CD58" w14:textId="77777777">
        <w:tc>
          <w:tcPr>
            <w:tcW w:w="4000" w:type="dxa"/>
            <w:shd w:val="clear" w:color="auto" w:fill="D9E2F3"/>
          </w:tcPr>
          <w:p w14:paraId="6970B9BE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방식</w:t>
            </w:r>
          </w:p>
        </w:tc>
        <w:tc>
          <w:tcPr>
            <w:tcW w:w="2500" w:type="dxa"/>
            <w:shd w:val="clear" w:color="auto" w:fill="D9E2F3"/>
          </w:tcPr>
          <w:p w14:paraId="2492A6BC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ECC</w:t>
            </w:r>
          </w:p>
        </w:tc>
        <w:tc>
          <w:tcPr>
            <w:tcW w:w="2500" w:type="dxa"/>
            <w:shd w:val="clear" w:color="auto" w:fill="D9E2F3"/>
          </w:tcPr>
          <w:p w14:paraId="291345AD" w14:textId="77777777" w:rsidR="003F020B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N_eff</w:t>
            </w:r>
            <w:proofErr w:type="spellEnd"/>
          </w:p>
        </w:tc>
      </w:tr>
      <w:tr w:rsidR="003F020B" w14:paraId="13BC1C78" w14:textId="77777777">
        <w:tc>
          <w:tcPr>
            <w:tcW w:w="4000" w:type="dxa"/>
          </w:tcPr>
          <w:p w14:paraId="2D269E75" w14:textId="77777777" w:rsidR="003F020B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</w:rPr>
              <w:t>원논문</w:t>
            </w:r>
            <w:proofErr w:type="spellEnd"/>
            <w:r>
              <w:rPr>
                <w:rFonts w:ascii="맑은 고딕" w:eastAsia="맑은 고딕" w:hAnsi="맑은 고딕" w:cs="맑은 고딕"/>
              </w:rPr>
              <w:t>(가중치 없음)</w:t>
            </w:r>
          </w:p>
        </w:tc>
        <w:tc>
          <w:tcPr>
            <w:tcW w:w="2500" w:type="dxa"/>
          </w:tcPr>
          <w:p w14:paraId="3D99C126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0.9502</w:t>
            </w:r>
          </w:p>
        </w:tc>
        <w:tc>
          <w:tcPr>
            <w:tcW w:w="2500" w:type="dxa"/>
          </w:tcPr>
          <w:p w14:paraId="4E93B60E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56</w:t>
            </w:r>
          </w:p>
        </w:tc>
      </w:tr>
      <w:tr w:rsidR="003F020B" w14:paraId="308F0A03" w14:textId="77777777">
        <w:tc>
          <w:tcPr>
            <w:tcW w:w="4000" w:type="dxa"/>
          </w:tcPr>
          <w:p w14:paraId="329CD1DB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신뢰도 가중(γ=1)</w:t>
            </w:r>
          </w:p>
        </w:tc>
        <w:tc>
          <w:tcPr>
            <w:tcW w:w="2500" w:type="dxa"/>
          </w:tcPr>
          <w:p w14:paraId="452B831E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0.9275</w:t>
            </w:r>
          </w:p>
        </w:tc>
        <w:tc>
          <w:tcPr>
            <w:tcW w:w="2500" w:type="dxa"/>
          </w:tcPr>
          <w:p w14:paraId="3151F775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54</w:t>
            </w:r>
          </w:p>
        </w:tc>
      </w:tr>
    </w:tbl>
    <w:p w14:paraId="7A7FEC01" w14:textId="77777777" w:rsidR="003F020B" w:rsidRDefault="003F020B">
      <w:pPr>
        <w:spacing w:after="150"/>
      </w:pPr>
    </w:p>
    <w:p w14:paraId="188DD72E" w14:textId="77777777" w:rsidR="003F020B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>ECC가 0.9502→0.9275로 오히려 하락(-0.0227)했다. 박스 간 신뢰도 차이가 실제로는 미미한데(별 차이 없음) '이건 신뢰도가 높다, 이건 낮다'고 억지로 차별을 두면, 그 차이가 클러</w:t>
      </w:r>
      <w:r>
        <w:rPr>
          <w:rFonts w:ascii="맑은 고딕" w:eastAsia="맑은 고딕" w:hAnsi="맑은 고딕" w:cs="맑은 고딕"/>
          <w:sz w:val="22"/>
          <w:szCs w:val="22"/>
        </w:rPr>
        <w:lastRenderedPageBreak/>
        <w:t>스터링에는 신호가 아니라 노이즈로 작용해 오히려 클러스터 구조를 흐트러뜨리는 것으로 해석된다.</w:t>
      </w:r>
    </w:p>
    <w:p w14:paraId="1484BA15" w14:textId="77777777" w:rsidR="003F020B" w:rsidRPr="00EA1BE8" w:rsidRDefault="00000000">
      <w:pPr>
        <w:pStyle w:val="2"/>
        <w:spacing w:before="240" w:after="120"/>
        <w:rPr>
          <w:rFonts w:asciiTheme="majorHAnsi" w:eastAsiaTheme="majorHAnsi" w:hAnsiTheme="majorHAnsi"/>
          <w:b/>
          <w:bCs/>
        </w:rPr>
      </w:pPr>
      <w:r w:rsidRPr="00EA1BE8">
        <w:rPr>
          <w:rFonts w:asciiTheme="majorHAnsi" w:eastAsiaTheme="majorHAnsi" w:hAnsiTheme="majorHAnsi"/>
          <w:b/>
          <w:bCs/>
        </w:rPr>
        <w:t xml:space="preserve">2.2 2차 실험 — 인위적 크기 다양화 데이터에서 γ </w:t>
      </w:r>
      <w:proofErr w:type="spellStart"/>
      <w:r w:rsidRPr="00EA1BE8">
        <w:rPr>
          <w:rFonts w:asciiTheme="majorHAnsi" w:eastAsiaTheme="majorHAnsi" w:hAnsiTheme="majorHAnsi"/>
          <w:b/>
          <w:bCs/>
        </w:rPr>
        <w:t>스윕</w:t>
      </w:r>
      <w:proofErr w:type="spellEnd"/>
    </w:p>
    <w:p w14:paraId="42E37E36" w14:textId="77777777" w:rsidR="003F020B" w:rsidRDefault="00000000">
      <w:pPr>
        <w:spacing w:after="16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min_support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를 다단계(30~700)로 혼합해 만든 박스 집단(support 30~767)을 재사용해, 신뢰도 편차와 gamma(가중 강도)의 관계를 재확인했다.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3500"/>
      </w:tblGrid>
      <w:tr w:rsidR="003F020B" w14:paraId="4F2D23D6" w14:textId="77777777">
        <w:tc>
          <w:tcPr>
            <w:tcW w:w="3500" w:type="dxa"/>
            <w:shd w:val="clear" w:color="auto" w:fill="D9E2F3"/>
          </w:tcPr>
          <w:p w14:paraId="2C6DBB81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지표</w:t>
            </w:r>
          </w:p>
        </w:tc>
        <w:tc>
          <w:tcPr>
            <w:tcW w:w="3000" w:type="dxa"/>
            <w:shd w:val="clear" w:color="auto" w:fill="D9E2F3"/>
          </w:tcPr>
          <w:p w14:paraId="08BF0E32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1차(표준)</w:t>
            </w:r>
          </w:p>
        </w:tc>
        <w:tc>
          <w:tcPr>
            <w:tcW w:w="3500" w:type="dxa"/>
            <w:shd w:val="clear" w:color="auto" w:fill="D9E2F3"/>
          </w:tcPr>
          <w:p w14:paraId="24904ED6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2차(크기 다양화)</w:t>
            </w:r>
          </w:p>
        </w:tc>
      </w:tr>
      <w:tr w:rsidR="003F020B" w14:paraId="275BCEDA" w14:textId="77777777">
        <w:tc>
          <w:tcPr>
            <w:tcW w:w="3500" w:type="dxa"/>
          </w:tcPr>
          <w:p w14:paraId="11C49625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desirability CV</w:t>
            </w:r>
          </w:p>
        </w:tc>
        <w:tc>
          <w:tcPr>
            <w:tcW w:w="3000" w:type="dxa"/>
          </w:tcPr>
          <w:p w14:paraId="3DC0D545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0.021</w:t>
            </w:r>
          </w:p>
        </w:tc>
        <w:tc>
          <w:tcPr>
            <w:tcW w:w="3500" w:type="dxa"/>
          </w:tcPr>
          <w:p w14:paraId="29C28B04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0.124</w:t>
            </w:r>
          </w:p>
        </w:tc>
      </w:tr>
      <w:tr w:rsidR="003F020B" w14:paraId="78935D64" w14:textId="77777777">
        <w:tc>
          <w:tcPr>
            <w:tcW w:w="3500" w:type="dxa"/>
          </w:tcPr>
          <w:p w14:paraId="081B5618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support CV</w:t>
            </w:r>
          </w:p>
        </w:tc>
        <w:tc>
          <w:tcPr>
            <w:tcW w:w="3000" w:type="dxa"/>
          </w:tcPr>
          <w:p w14:paraId="1BC2827B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0.022</w:t>
            </w:r>
          </w:p>
        </w:tc>
        <w:tc>
          <w:tcPr>
            <w:tcW w:w="3500" w:type="dxa"/>
          </w:tcPr>
          <w:p w14:paraId="10145F29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0.887</w:t>
            </w:r>
          </w:p>
        </w:tc>
      </w:tr>
    </w:tbl>
    <w:p w14:paraId="4872B9B1" w14:textId="77777777" w:rsidR="003F020B" w:rsidRDefault="003F020B">
      <w:pPr>
        <w:spacing w:after="150"/>
      </w:pPr>
    </w:p>
    <w:p w14:paraId="744A9895" w14:textId="77777777" w:rsidR="003F020B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 xml:space="preserve">크기를 다양화하니 신뢰도 편차도 함께 커졌다. 이 조건에서 γ를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스윕한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결과는 다음과 같다.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000"/>
      </w:tblGrid>
      <w:tr w:rsidR="003F020B" w14:paraId="5AA32002" w14:textId="77777777">
        <w:tc>
          <w:tcPr>
            <w:tcW w:w="3500" w:type="dxa"/>
            <w:shd w:val="clear" w:color="auto" w:fill="D9E2F3"/>
          </w:tcPr>
          <w:p w14:paraId="6CCC91CC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gamma</w:t>
            </w:r>
          </w:p>
        </w:tc>
        <w:tc>
          <w:tcPr>
            <w:tcW w:w="2500" w:type="dxa"/>
            <w:shd w:val="clear" w:color="auto" w:fill="D9E2F3"/>
          </w:tcPr>
          <w:p w14:paraId="7F02411B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ECC</w:t>
            </w:r>
          </w:p>
        </w:tc>
        <w:tc>
          <w:tcPr>
            <w:tcW w:w="3000" w:type="dxa"/>
            <w:shd w:val="clear" w:color="auto" w:fill="D9E2F3"/>
          </w:tcPr>
          <w:p w14:paraId="1488AEB5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baseline 대비</w:t>
            </w:r>
          </w:p>
        </w:tc>
      </w:tr>
      <w:tr w:rsidR="003F020B" w14:paraId="6405550A" w14:textId="77777777">
        <w:tc>
          <w:tcPr>
            <w:tcW w:w="3500" w:type="dxa"/>
          </w:tcPr>
          <w:p w14:paraId="3F0FC6CA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0.00 (가중치 없음)</w:t>
            </w:r>
          </w:p>
        </w:tc>
        <w:tc>
          <w:tcPr>
            <w:tcW w:w="2500" w:type="dxa"/>
          </w:tcPr>
          <w:p w14:paraId="5B4A19F5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0.9707</w:t>
            </w:r>
          </w:p>
        </w:tc>
        <w:tc>
          <w:tcPr>
            <w:tcW w:w="3000" w:type="dxa"/>
          </w:tcPr>
          <w:p w14:paraId="44D2BF65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0.0000</w:t>
            </w:r>
          </w:p>
        </w:tc>
      </w:tr>
      <w:tr w:rsidR="003F020B" w14:paraId="47313D12" w14:textId="77777777">
        <w:tc>
          <w:tcPr>
            <w:tcW w:w="3500" w:type="dxa"/>
          </w:tcPr>
          <w:p w14:paraId="3B9C482F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0.25 (최고점)</w:t>
            </w:r>
          </w:p>
        </w:tc>
        <w:tc>
          <w:tcPr>
            <w:tcW w:w="2500" w:type="dxa"/>
          </w:tcPr>
          <w:p w14:paraId="758A0DF6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0.9721</w:t>
            </w:r>
          </w:p>
        </w:tc>
        <w:tc>
          <w:tcPr>
            <w:tcW w:w="3000" w:type="dxa"/>
          </w:tcPr>
          <w:p w14:paraId="4C467CDE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+0.0014</w:t>
            </w:r>
          </w:p>
        </w:tc>
      </w:tr>
      <w:tr w:rsidR="003F020B" w14:paraId="3980ED43" w14:textId="77777777">
        <w:tc>
          <w:tcPr>
            <w:tcW w:w="3500" w:type="dxa"/>
          </w:tcPr>
          <w:p w14:paraId="4700AF02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0.50</w:t>
            </w:r>
          </w:p>
        </w:tc>
        <w:tc>
          <w:tcPr>
            <w:tcW w:w="2500" w:type="dxa"/>
          </w:tcPr>
          <w:p w14:paraId="0046C6E8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0.9694</w:t>
            </w:r>
          </w:p>
        </w:tc>
        <w:tc>
          <w:tcPr>
            <w:tcW w:w="3000" w:type="dxa"/>
          </w:tcPr>
          <w:p w14:paraId="36496A54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-0.0012</w:t>
            </w:r>
          </w:p>
        </w:tc>
      </w:tr>
      <w:tr w:rsidR="003F020B" w14:paraId="2B7FB9D5" w14:textId="77777777">
        <w:tc>
          <w:tcPr>
            <w:tcW w:w="3500" w:type="dxa"/>
          </w:tcPr>
          <w:p w14:paraId="221AF5EA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1.00 (</w:t>
            </w:r>
            <w:proofErr w:type="spellStart"/>
            <w:r>
              <w:rPr>
                <w:rFonts w:ascii="맑은 고딕" w:eastAsia="맑은 고딕" w:hAnsi="맑은 고딕" w:cs="맑은 고딕"/>
              </w:rPr>
              <w:t>전강도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2500" w:type="dxa"/>
          </w:tcPr>
          <w:p w14:paraId="7F58CBED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0.9564</w:t>
            </w:r>
          </w:p>
        </w:tc>
        <w:tc>
          <w:tcPr>
            <w:tcW w:w="3000" w:type="dxa"/>
          </w:tcPr>
          <w:p w14:paraId="0C942C9A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-0.0143</w:t>
            </w:r>
          </w:p>
        </w:tc>
      </w:tr>
    </w:tbl>
    <w:p w14:paraId="5E08E875" w14:textId="77777777" w:rsidR="003F020B" w:rsidRDefault="003F020B">
      <w:pPr>
        <w:spacing w:after="150"/>
      </w:pPr>
    </w:p>
    <w:p w14:paraId="16CAC6AB" w14:textId="77777777" w:rsidR="003F020B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>가중을 약하게(γ=0.25) 반영했을 때만 소폭 개선(+0.0014)되었고, 그 이상 강하게 반영할수록 계속 나빠졌다(γ=1.0에서 최저). '가중치를 아예 안 주는 것도, 과하게 주는 것도 좋지 않다'는 패턴이 확인되었다.</w:t>
      </w:r>
    </w:p>
    <w:p w14:paraId="7C3452C1" w14:textId="77777777" w:rsidR="003F020B" w:rsidRPr="00EA1BE8" w:rsidRDefault="00000000">
      <w:pPr>
        <w:pStyle w:val="2"/>
        <w:spacing w:before="240" w:after="120"/>
        <w:rPr>
          <w:rFonts w:asciiTheme="majorHAnsi" w:eastAsiaTheme="majorHAnsi" w:hAnsiTheme="majorHAnsi"/>
          <w:b/>
          <w:bCs/>
        </w:rPr>
      </w:pPr>
      <w:r w:rsidRPr="00EA1BE8">
        <w:rPr>
          <w:rFonts w:asciiTheme="majorHAnsi" w:eastAsiaTheme="majorHAnsi" w:hAnsiTheme="majorHAnsi"/>
          <w:b/>
          <w:bCs/>
        </w:rPr>
        <w:t>2.3 3차 실험 — 표준 설정에서 gamma 자동탐색</w:t>
      </w:r>
    </w:p>
    <w:p w14:paraId="7E579EA3" w14:textId="77777777" w:rsidR="003F020B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 xml:space="preserve">데이터 다양화 없이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표준 설정을 유지한 채, gamma를 0~1 전 구간(0.05 간격 포함)에 걸쳐 촘촘히 탐색해 개선 지점이 있는지 확인했다.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000"/>
      </w:tblGrid>
      <w:tr w:rsidR="003F020B" w14:paraId="5DF3B652" w14:textId="77777777">
        <w:tc>
          <w:tcPr>
            <w:tcW w:w="3500" w:type="dxa"/>
            <w:shd w:val="clear" w:color="auto" w:fill="D9E2F3"/>
          </w:tcPr>
          <w:p w14:paraId="026DBC0B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gamma</w:t>
            </w:r>
          </w:p>
        </w:tc>
        <w:tc>
          <w:tcPr>
            <w:tcW w:w="2500" w:type="dxa"/>
            <w:shd w:val="clear" w:color="auto" w:fill="D9E2F3"/>
          </w:tcPr>
          <w:p w14:paraId="46D3A9F8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ECC</w:t>
            </w:r>
          </w:p>
        </w:tc>
        <w:tc>
          <w:tcPr>
            <w:tcW w:w="3000" w:type="dxa"/>
            <w:shd w:val="clear" w:color="auto" w:fill="D9E2F3"/>
          </w:tcPr>
          <w:p w14:paraId="412C5CDF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baseline 대비</w:t>
            </w:r>
          </w:p>
        </w:tc>
      </w:tr>
      <w:tr w:rsidR="003F020B" w14:paraId="3C8CD09D" w14:textId="77777777">
        <w:tc>
          <w:tcPr>
            <w:tcW w:w="3500" w:type="dxa"/>
          </w:tcPr>
          <w:p w14:paraId="69A6436D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0.00</w:t>
            </w:r>
          </w:p>
        </w:tc>
        <w:tc>
          <w:tcPr>
            <w:tcW w:w="2500" w:type="dxa"/>
          </w:tcPr>
          <w:p w14:paraId="2A758C0F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0.9520</w:t>
            </w:r>
          </w:p>
        </w:tc>
        <w:tc>
          <w:tcPr>
            <w:tcW w:w="3000" w:type="dxa"/>
          </w:tcPr>
          <w:p w14:paraId="7A8ADEA8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0.0000 (최고)</w:t>
            </w:r>
          </w:p>
        </w:tc>
      </w:tr>
      <w:tr w:rsidR="003F020B" w14:paraId="75CC8044" w14:textId="77777777">
        <w:tc>
          <w:tcPr>
            <w:tcW w:w="3500" w:type="dxa"/>
          </w:tcPr>
          <w:p w14:paraId="012BDB00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0.10</w:t>
            </w:r>
          </w:p>
        </w:tc>
        <w:tc>
          <w:tcPr>
            <w:tcW w:w="2500" w:type="dxa"/>
          </w:tcPr>
          <w:p w14:paraId="0A7D38D0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0.9450</w:t>
            </w:r>
          </w:p>
        </w:tc>
        <w:tc>
          <w:tcPr>
            <w:tcW w:w="3000" w:type="dxa"/>
          </w:tcPr>
          <w:p w14:paraId="00F944AE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-0.0070</w:t>
            </w:r>
          </w:p>
        </w:tc>
      </w:tr>
      <w:tr w:rsidR="003F020B" w14:paraId="4CA87398" w14:textId="77777777">
        <w:tc>
          <w:tcPr>
            <w:tcW w:w="3500" w:type="dxa"/>
          </w:tcPr>
          <w:p w14:paraId="4161A9FA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0.25</w:t>
            </w:r>
          </w:p>
        </w:tc>
        <w:tc>
          <w:tcPr>
            <w:tcW w:w="2500" w:type="dxa"/>
          </w:tcPr>
          <w:p w14:paraId="5AC2AD6A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0.9314</w:t>
            </w:r>
          </w:p>
        </w:tc>
        <w:tc>
          <w:tcPr>
            <w:tcW w:w="3000" w:type="dxa"/>
          </w:tcPr>
          <w:p w14:paraId="7983B44A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-0.0206</w:t>
            </w:r>
          </w:p>
        </w:tc>
      </w:tr>
      <w:tr w:rsidR="003F020B" w14:paraId="69A494B3" w14:textId="77777777">
        <w:tc>
          <w:tcPr>
            <w:tcW w:w="3500" w:type="dxa"/>
          </w:tcPr>
          <w:p w14:paraId="756759AB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1.00</w:t>
            </w:r>
          </w:p>
        </w:tc>
        <w:tc>
          <w:tcPr>
            <w:tcW w:w="2500" w:type="dxa"/>
          </w:tcPr>
          <w:p w14:paraId="18E7F1F4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0.9207</w:t>
            </w:r>
          </w:p>
        </w:tc>
        <w:tc>
          <w:tcPr>
            <w:tcW w:w="3000" w:type="dxa"/>
          </w:tcPr>
          <w:p w14:paraId="1539E8CC" w14:textId="77777777" w:rsidR="003F020B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-0.0313 (최저)</w:t>
            </w:r>
          </w:p>
        </w:tc>
      </w:tr>
    </w:tbl>
    <w:p w14:paraId="69E998E0" w14:textId="77777777" w:rsidR="003F020B" w:rsidRDefault="003F020B">
      <w:pPr>
        <w:spacing w:after="150"/>
      </w:pPr>
    </w:p>
    <w:p w14:paraId="419AC143" w14:textId="77777777" w:rsidR="003F020B" w:rsidRDefault="00000000">
      <w:pPr>
        <w:spacing w:after="1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표준 설정에서는 gamma를 아무리 조절해도 개선 지점이 전혀 없었다. gamma=0(가중치 없음)이 모든 구간에서 항상 최선이었으며, gamma가 커질수록 단조적으로 하락했다.</w:t>
      </w:r>
    </w:p>
    <w:p w14:paraId="68F4F2CA" w14:textId="77777777" w:rsidR="003F020B" w:rsidRPr="00EA1BE8" w:rsidRDefault="00000000">
      <w:pPr>
        <w:pStyle w:val="1"/>
        <w:spacing w:before="300" w:after="150"/>
        <w:rPr>
          <w:rFonts w:asciiTheme="majorHAnsi" w:eastAsiaTheme="majorHAnsi" w:hAnsiTheme="majorHAnsi"/>
          <w:b/>
          <w:bCs/>
        </w:rPr>
      </w:pPr>
      <w:r w:rsidRPr="00EA1BE8">
        <w:rPr>
          <w:rFonts w:asciiTheme="majorHAnsi" w:eastAsiaTheme="majorHAnsi" w:hAnsiTheme="majorHAnsi"/>
          <w:b/>
          <w:bCs/>
        </w:rPr>
        <w:t>3. 종합 결론</w:t>
      </w:r>
    </w:p>
    <w:p w14:paraId="18132C37" w14:textId="77777777" w:rsidR="003F020B" w:rsidRDefault="00000000">
      <w:pPr>
        <w:spacing w:after="1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아이디어 3번(신뢰도 가중 클러스터링)은 다음과 같이 정리된다:</w:t>
      </w:r>
    </w:p>
    <w:p w14:paraId="329404FC" w14:textId="77777777" w:rsidR="003F020B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표준 설정에서는 박스 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desirability·support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편차가 극히 작다(CV 2%). 이는 MRS-PRIM이 이미 고성능 박스만 선별하는 구조적 특성 때문이다(아이디어 2번에서 확인한 '박스 크기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균일성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'과 동일한 근본 원인).</w:t>
      </w:r>
    </w:p>
    <w:p w14:paraId="73900A91" w14:textId="77777777" w:rsidR="003F020B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 xml:space="preserve">편차가 작은 표준 설정에서 신뢰도 가중을 적용하면, 가중 강도(gamma)를 아무리 조절해도 개선되지 않으며 항상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(가중치 없음) 대비 손해였다.</w:t>
      </w:r>
    </w:p>
    <w:p w14:paraId="77F24067" w14:textId="77777777" w:rsidR="003F020B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>박스 크기를 인위적으로 다양화해 신뢰도 편차를 키운 조건에서는, 약한 가중(γ=0.25)에서 미미한 개선(+0.0014)이 확인되었으나, 이는 실제 데이터의 자연스러운 상태가 아니라 인위적으로 조성한 조건에서만 나타난 결과다.</w:t>
      </w:r>
    </w:p>
    <w:p w14:paraId="720E4806" w14:textId="77777777" w:rsidR="003F020B" w:rsidRDefault="00000000">
      <w:pPr>
        <w:spacing w:after="1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종합적으로, 신뢰도 가중은 이론적 동기(성능·근거가 다른 박스를 차등 대우)는 타당하나, 이 프레임워크가 실제로 생성하는 박스 집단에는 신뢰도를 구별할 만한 신호 자체가 부족하다. 따라서 표준 설정에서는 이 아이디어를 적용할 실익이 없으며, 박스 성능·크기 편차가 자연적으로 큰 데이터에서만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재검증할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가치가 있다.</w:t>
      </w:r>
    </w:p>
    <w:p w14:paraId="28EE10B5" w14:textId="77777777" w:rsidR="003F020B" w:rsidRPr="00EA1BE8" w:rsidRDefault="00000000">
      <w:pPr>
        <w:pStyle w:val="1"/>
        <w:spacing w:before="300" w:after="150"/>
        <w:rPr>
          <w:rFonts w:asciiTheme="majorHAnsi" w:eastAsiaTheme="majorHAnsi" w:hAnsiTheme="majorHAnsi"/>
          <w:b/>
          <w:bCs/>
        </w:rPr>
      </w:pPr>
      <w:r w:rsidRPr="00EA1BE8">
        <w:rPr>
          <w:rFonts w:asciiTheme="majorHAnsi" w:eastAsiaTheme="majorHAnsi" w:hAnsiTheme="majorHAnsi"/>
          <w:b/>
          <w:bCs/>
        </w:rPr>
        <w:t>4. 정직한 한계 및 후속 과제</w:t>
      </w:r>
    </w:p>
    <w:p w14:paraId="5003B36A" w14:textId="77777777" w:rsidR="003F020B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>신뢰도 정의(desirability와 support의 기하평균)가 유일한 방식이었다. 다른 결합 방식(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가중합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, 조화평균 등)에서 다른 결과가 나올 가능성은 검증하지 못했다.</w:t>
      </w:r>
    </w:p>
    <w:p w14:paraId="3906C42C" w14:textId="77777777" w:rsidR="003F020B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 xml:space="preserve">gamma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스윕은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격자 탐색으로 수행했으며, 데이터 특성에 따라 최적 gamma를 자동 추정하는 방법론은 제시하지 못했다.</w:t>
      </w:r>
    </w:p>
    <w:p w14:paraId="53A09D95" w14:textId="77777777" w:rsidR="003F020B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>본 실험은 콘크리트 데이터에 한정된다. 박스 성능 편차가 자연적으로 큰 데이터(예: 목적함수가 여러 개인 다중반응 문제)에서 재검증이 필요하다.</w:t>
      </w:r>
    </w:p>
    <w:p w14:paraId="53CA2F8D" w14:textId="7CBA3148" w:rsidR="003F020B" w:rsidRPr="00EA1BE8" w:rsidRDefault="003F020B" w:rsidP="00EA1BE8">
      <w:pPr>
        <w:spacing w:after="80"/>
        <w:rPr>
          <w:rFonts w:eastAsia="Yu Mincho" w:hint="eastAsia"/>
          <w:lang w:eastAsia="ja-JP"/>
        </w:rPr>
      </w:pPr>
    </w:p>
    <w:sectPr w:rsidR="003F020B" w:rsidRPr="00EA1B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4226"/>
    <w:multiLevelType w:val="hybridMultilevel"/>
    <w:tmpl w:val="D07221B4"/>
    <w:lvl w:ilvl="0" w:tplc="3C5E4B2C">
      <w:start w:val="1"/>
      <w:numFmt w:val="bullet"/>
      <w:lvlText w:val="●"/>
      <w:lvlJc w:val="left"/>
      <w:pPr>
        <w:ind w:left="720" w:hanging="360"/>
      </w:pPr>
    </w:lvl>
    <w:lvl w:ilvl="1" w:tplc="3CA2961C">
      <w:start w:val="1"/>
      <w:numFmt w:val="bullet"/>
      <w:lvlText w:val="○"/>
      <w:lvlJc w:val="left"/>
      <w:pPr>
        <w:ind w:left="1440" w:hanging="360"/>
      </w:pPr>
    </w:lvl>
    <w:lvl w:ilvl="2" w:tplc="13E48D80">
      <w:start w:val="1"/>
      <w:numFmt w:val="bullet"/>
      <w:lvlText w:val="■"/>
      <w:lvlJc w:val="left"/>
      <w:pPr>
        <w:ind w:left="2160" w:hanging="360"/>
      </w:pPr>
    </w:lvl>
    <w:lvl w:ilvl="3" w:tplc="DDBE52C6">
      <w:start w:val="1"/>
      <w:numFmt w:val="bullet"/>
      <w:lvlText w:val="●"/>
      <w:lvlJc w:val="left"/>
      <w:pPr>
        <w:ind w:left="2880" w:hanging="360"/>
      </w:pPr>
    </w:lvl>
    <w:lvl w:ilvl="4" w:tplc="E7A4184C">
      <w:start w:val="1"/>
      <w:numFmt w:val="bullet"/>
      <w:lvlText w:val="○"/>
      <w:lvlJc w:val="left"/>
      <w:pPr>
        <w:ind w:left="3600" w:hanging="360"/>
      </w:pPr>
    </w:lvl>
    <w:lvl w:ilvl="5" w:tplc="67022E74">
      <w:start w:val="1"/>
      <w:numFmt w:val="bullet"/>
      <w:lvlText w:val="■"/>
      <w:lvlJc w:val="left"/>
      <w:pPr>
        <w:ind w:left="4320" w:hanging="360"/>
      </w:pPr>
    </w:lvl>
    <w:lvl w:ilvl="6" w:tplc="A24E0686">
      <w:start w:val="1"/>
      <w:numFmt w:val="bullet"/>
      <w:lvlText w:val="●"/>
      <w:lvlJc w:val="left"/>
      <w:pPr>
        <w:ind w:left="5040" w:hanging="360"/>
      </w:pPr>
    </w:lvl>
    <w:lvl w:ilvl="7" w:tplc="7EA87224">
      <w:start w:val="1"/>
      <w:numFmt w:val="bullet"/>
      <w:lvlText w:val="●"/>
      <w:lvlJc w:val="left"/>
      <w:pPr>
        <w:ind w:left="5760" w:hanging="360"/>
      </w:pPr>
    </w:lvl>
    <w:lvl w:ilvl="8" w:tplc="2D3A6692">
      <w:start w:val="1"/>
      <w:numFmt w:val="bullet"/>
      <w:lvlText w:val="●"/>
      <w:lvlJc w:val="left"/>
      <w:pPr>
        <w:ind w:left="6480" w:hanging="360"/>
      </w:pPr>
    </w:lvl>
  </w:abstractNum>
  <w:num w:numId="1" w16cid:durableId="360593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20B"/>
    <w:rsid w:val="000C265E"/>
    <w:rsid w:val="003F020B"/>
    <w:rsid w:val="00952ED3"/>
    <w:rsid w:val="00C0547F"/>
    <w:rsid w:val="00EA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ADA2"/>
  <w15:docId w15:val="{FE3D6905-F342-43CA-99F4-7DDEFF27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ＬＥＥ Ｊｅｏｎｇｊｉｎ(nr1705is)</cp:lastModifiedBy>
  <cp:revision>3</cp:revision>
  <dcterms:created xsi:type="dcterms:W3CDTF">2026-07-23T08:30:00Z</dcterms:created>
  <dcterms:modified xsi:type="dcterms:W3CDTF">2026-07-24T04:45:00Z</dcterms:modified>
</cp:coreProperties>
</file>