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A391" w14:textId="77777777" w:rsidR="005154EC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아이디어 2번 — Tversky 유사도</w:t>
      </w:r>
    </w:p>
    <w:p w14:paraId="1FC2CA9B" w14:textId="77777777" w:rsidR="005154EC" w:rsidRPr="00570CFC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>1. 배경 및 목적</w:t>
      </w:r>
    </w:p>
    <w:p w14:paraId="0EE34CB7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원논문은 박스 간 유사도를 경험적 Jaccard(|교집합|/|합집합|)로 계산한다. 그러나 두 박스의 크기가 크게 다를 경우, 작은 박스가 큰 박스에 완전히 포함되어 있어도 Jaccard는 이를 '멀다'고 오판하는 구조적 취약점이 있다.</w:t>
      </w:r>
    </w:p>
    <w:p w14:paraId="4102C8FE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Tversky 지수는 두 박스의 차이를 '작은 쪽에만 있는 부분(α)'과 '큰 쪽에만 있는 부분(β=W_LARGE)'으로 나누어 서로 다른 가중치를 적용함으로써 이 문제를 완화하고자 하는 유사도 척도다. 본 보고서는 이 아이디어를 5차에 걸친 실험으로 검증한 결과를 정리한다.</w:t>
      </w:r>
    </w:p>
    <w:p w14:paraId="22E5A12D" w14:textId="77777777" w:rsidR="005154EC" w:rsidRPr="00570CFC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>2. 실험 결과</w:t>
      </w:r>
    </w:p>
    <w:p w14:paraId="5E64FA36" w14:textId="77777777" w:rsidR="005154EC" w:rsidRPr="00570CFC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>2.1 1차 실험 — 표준 설정 (콘크리트)</w:t>
      </w:r>
    </w:p>
    <w:p w14:paraId="62DFD2AA" w14:textId="77777777" w:rsidR="005154EC" w:rsidRDefault="00000000">
      <w:pPr>
        <w:spacing w:after="1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표준 설정(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=100 고정)으로 박스 2001개를 생성한 결과, 박스 support가 100~119(최대/최소 1.19배)로 사실상 균일했다. 크기 비대칭 포함 쌍(작은 박스가 큰 박스에 80% 이상 포함되면서 크기가 2배 이상 차이나는 쌍) 진단 결과 0건이었다.</w:t>
      </w:r>
    </w:p>
    <w:p w14:paraId="3FA1B6EC" w14:textId="36C1918B" w:rsidR="005154EC" w:rsidRPr="00570CFC" w:rsidRDefault="00000000" w:rsidP="00570CFC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>2.2 2차 실험 — 대규모 데이터 확장 (Multi-stage Factory,</w:t>
      </w:r>
      <w:r w:rsidR="00570CFC">
        <w:rPr>
          <w:rFonts w:asciiTheme="majorHAnsi" w:eastAsiaTheme="majorHAnsi" w:hAnsiTheme="majorHAnsi" w:hint="eastAsia"/>
          <w:b/>
          <w:bCs/>
        </w:rPr>
        <w:t xml:space="preserve"> </w:t>
      </w:r>
      <w:r w:rsidRPr="00570CFC">
        <w:rPr>
          <w:rFonts w:asciiTheme="majorHAnsi" w:eastAsiaTheme="majorHAnsi" w:hAnsiTheme="majorHAnsi"/>
          <w:b/>
          <w:bCs/>
        </w:rPr>
        <w:t>14088행/41변수/15반응)</w:t>
      </w:r>
    </w:p>
    <w:p w14:paraId="39F35C8B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데이터 규모(14배)와 변수 수(5배)를 크게 늘려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재검증했다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. 결과는 1차와 동일했다: support 범위 250~263(1.05배), 비대칭 포함 쌍 0건. Jaccard와 Tversky의 ECC가 완전히 동일(1.0000 = 1.0000)하게 나타났다.</w:t>
      </w:r>
    </w:p>
    <w:p w14:paraId="48320E0C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이는 크기 균일 현상이 콘크리트 데이터 특유의 문제가 아니라, MRS-PRIM의 patient peeling 구조(desirability가 개선되는 한 support 하한까지 계속 깎이는 특성) 자체에서 기인함을 시사한다.</w:t>
      </w:r>
    </w:p>
    <w:p w14:paraId="4351BC20" w14:textId="77777777" w:rsidR="005154EC" w:rsidRPr="00570CFC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 xml:space="preserve">2.3 3차 실험 — 인위적 비대칭 유발 및 가중치 </w:t>
      </w:r>
      <w:proofErr w:type="spellStart"/>
      <w:r w:rsidRPr="00570CFC">
        <w:rPr>
          <w:rFonts w:asciiTheme="majorHAnsi" w:eastAsiaTheme="majorHAnsi" w:hAnsiTheme="majorHAnsi"/>
          <w:b/>
          <w:bCs/>
        </w:rPr>
        <w:t>스윕</w:t>
      </w:r>
      <w:proofErr w:type="spellEnd"/>
    </w:p>
    <w:p w14:paraId="31AAE254" w14:textId="77777777" w:rsidR="005154EC" w:rsidRDefault="00000000">
      <w:pPr>
        <w:spacing w:after="1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단일값이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아닌 다단계(30/60/120/250/500/700)로 혼합해 박스를 생성함으로써 subregion의 크기 비대칭을 의도적으로 유발했다(support 30~767, 25.57배 편차; 비대칭 포함 쌍 61.15%). 이 조건에서 W_LARGE(β)를 0.0~1.0으로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결과는 다음과 같다.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200"/>
        <w:gridCol w:w="2500"/>
      </w:tblGrid>
      <w:tr w:rsidR="005154EC" w14:paraId="4B8061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03B98E08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W_LARGE</w:t>
            </w:r>
          </w:p>
        </w:tc>
        <w:tc>
          <w:tcPr>
            <w:tcW w:w="2200" w:type="dxa"/>
            <w:shd w:val="clear" w:color="auto" w:fill="D9E2F3"/>
          </w:tcPr>
          <w:p w14:paraId="008A7066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ECC</w:t>
            </w:r>
          </w:p>
        </w:tc>
        <w:tc>
          <w:tcPr>
            <w:tcW w:w="2500" w:type="dxa"/>
            <w:shd w:val="clear" w:color="auto" w:fill="D9E2F3"/>
          </w:tcPr>
          <w:p w14:paraId="5A06A1F7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Jaccard 대비</w:t>
            </w:r>
          </w:p>
        </w:tc>
      </w:tr>
      <w:tr w:rsidR="005154EC" w14:paraId="00F6A4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22248A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 (overlap 극단)</w:t>
            </w:r>
          </w:p>
        </w:tc>
        <w:tc>
          <w:tcPr>
            <w:tcW w:w="2200" w:type="dxa"/>
          </w:tcPr>
          <w:p w14:paraId="13E079E2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0.1605</w:t>
            </w:r>
          </w:p>
        </w:tc>
        <w:tc>
          <w:tcPr>
            <w:tcW w:w="2500" w:type="dxa"/>
          </w:tcPr>
          <w:p w14:paraId="25B08BF9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-0.8102 (붕괴)</w:t>
            </w:r>
          </w:p>
        </w:tc>
      </w:tr>
      <w:tr w:rsidR="005154EC" w14:paraId="4FB149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034335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0.6~0.8 (최고점)</w:t>
            </w:r>
          </w:p>
        </w:tc>
        <w:tc>
          <w:tcPr>
            <w:tcW w:w="2200" w:type="dxa"/>
          </w:tcPr>
          <w:p w14:paraId="45360B17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0.9716</w:t>
            </w:r>
          </w:p>
        </w:tc>
        <w:tc>
          <w:tcPr>
            <w:tcW w:w="2500" w:type="dxa"/>
          </w:tcPr>
          <w:p w14:paraId="45545798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+0.0009</w:t>
            </w:r>
          </w:p>
        </w:tc>
      </w:tr>
      <w:tr w:rsidR="005154EC" w14:paraId="1306F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5C65F8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1.0 (=Jaccard)</w:t>
            </w:r>
          </w:p>
        </w:tc>
        <w:tc>
          <w:tcPr>
            <w:tcW w:w="2200" w:type="dxa"/>
          </w:tcPr>
          <w:p w14:paraId="76C0D214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0.9707</w:t>
            </w:r>
          </w:p>
        </w:tc>
        <w:tc>
          <w:tcPr>
            <w:tcW w:w="2500" w:type="dxa"/>
          </w:tcPr>
          <w:p w14:paraId="5E483430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0.0000</w:t>
            </w:r>
          </w:p>
        </w:tc>
      </w:tr>
    </w:tbl>
    <w:p w14:paraId="0D413B05" w14:textId="77777777" w:rsidR="005154EC" w:rsidRDefault="005154EC">
      <w:pPr>
        <w:spacing w:after="150"/>
      </w:pPr>
    </w:p>
    <w:p w14:paraId="1A81DB40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잘못된 극단(W_LARGE=0)에서는 ECC가 0.97에서 0.16으로 파국적으로 붕괴했다. 반면 적정 범위(0.6~0.8)에서는 Jaccard 대비 +0.0009의 근소한 개선만 확인되었다.</w:t>
      </w:r>
    </w:p>
    <w:p w14:paraId="02C4F514" w14:textId="77777777" w:rsidR="005154EC" w:rsidRPr="00570CFC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 xml:space="preserve">2.4 4차 실험 — 비대칭 없는 표준 데이터에서 가중치 </w:t>
      </w:r>
      <w:proofErr w:type="spellStart"/>
      <w:r w:rsidRPr="00570CFC">
        <w:rPr>
          <w:rFonts w:asciiTheme="majorHAnsi" w:eastAsiaTheme="majorHAnsi" w:hAnsiTheme="majorHAnsi"/>
          <w:b/>
          <w:bCs/>
        </w:rPr>
        <w:t>재검증</w:t>
      </w:r>
      <w:proofErr w:type="spellEnd"/>
    </w:p>
    <w:p w14:paraId="58FAB709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비대칭을 인위적으로 유발한 데이터가 아닌, 실제 공정 표준 데이터(1~2차와 동일한 조건)에서 가중치 전 구간을 다시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스윕해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재검증했다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2200"/>
      </w:tblGrid>
      <w:tr w:rsidR="005154EC" w14:paraId="2C287F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254CCC02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W_LARGE</w:t>
            </w:r>
          </w:p>
        </w:tc>
        <w:tc>
          <w:tcPr>
            <w:tcW w:w="2500" w:type="dxa"/>
            <w:shd w:val="clear" w:color="auto" w:fill="D9E2F3"/>
          </w:tcPr>
          <w:p w14:paraId="0E3B3D40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ECC</w:t>
            </w:r>
          </w:p>
        </w:tc>
        <w:tc>
          <w:tcPr>
            <w:tcW w:w="2200" w:type="dxa"/>
            <w:shd w:val="clear" w:color="auto" w:fill="D9E2F3"/>
          </w:tcPr>
          <w:p w14:paraId="11A96F88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Jaccard 대비</w:t>
            </w:r>
          </w:p>
        </w:tc>
      </w:tr>
      <w:tr w:rsidR="005154EC" w14:paraId="34460D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AF920A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</w:t>
            </w:r>
          </w:p>
        </w:tc>
        <w:tc>
          <w:tcPr>
            <w:tcW w:w="2500" w:type="dxa"/>
          </w:tcPr>
          <w:p w14:paraId="728242E0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0.9325</w:t>
            </w:r>
          </w:p>
        </w:tc>
        <w:tc>
          <w:tcPr>
            <w:tcW w:w="2200" w:type="dxa"/>
          </w:tcPr>
          <w:p w14:paraId="0A4C82E4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-0.0195</w:t>
            </w:r>
          </w:p>
        </w:tc>
      </w:tr>
      <w:tr w:rsidR="005154EC" w14:paraId="479F43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814CA1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0.2~0.9</w:t>
            </w:r>
          </w:p>
        </w:tc>
        <w:tc>
          <w:tcPr>
            <w:tcW w:w="2500" w:type="dxa"/>
          </w:tcPr>
          <w:p w14:paraId="4165A7DC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0.947~0.952</w:t>
            </w:r>
          </w:p>
        </w:tc>
        <w:tc>
          <w:tcPr>
            <w:tcW w:w="2200" w:type="dxa"/>
          </w:tcPr>
          <w:p w14:paraId="73E587FF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-0.005~0.000</w:t>
            </w:r>
          </w:p>
        </w:tc>
      </w:tr>
      <w:tr w:rsidR="005154EC" w14:paraId="6BE4DD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DE8494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1.0 (=Jaccard)</w:t>
            </w:r>
          </w:p>
        </w:tc>
        <w:tc>
          <w:tcPr>
            <w:tcW w:w="2500" w:type="dxa"/>
          </w:tcPr>
          <w:p w14:paraId="4A9101D3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0.9520</w:t>
            </w:r>
          </w:p>
        </w:tc>
        <w:tc>
          <w:tcPr>
            <w:tcW w:w="2200" w:type="dxa"/>
          </w:tcPr>
          <w:p w14:paraId="37FFD03F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0.0000</w:t>
            </w:r>
          </w:p>
        </w:tc>
      </w:tr>
    </w:tbl>
    <w:p w14:paraId="46123E75" w14:textId="77777777" w:rsidR="005154EC" w:rsidRDefault="005154EC">
      <w:pPr>
        <w:spacing w:after="150"/>
      </w:pPr>
    </w:p>
    <w:p w14:paraId="44F2E8F1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Tversky 가중치가 별다른 영향을 주지 못하는 것으로 판단했다. 다만 극단적 가중치(W_LARGE=0)는 비대칭이 없는 데이터에서도 ECC를 0.0195만큼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하락시켜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, 100~119 수준의 미세한 크기 차이도 극단적 가중치 하에서는 누적되어 영향을 줄 수 있음이 확인되었다.</w:t>
      </w:r>
    </w:p>
    <w:p w14:paraId="35DF489B" w14:textId="77777777" w:rsidR="005154EC" w:rsidRPr="00570CFC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 xml:space="preserve">2.5 5차 실험 — </w:t>
      </w:r>
      <w:proofErr w:type="spellStart"/>
      <w:r w:rsidRPr="00570CFC">
        <w:rPr>
          <w:rFonts w:asciiTheme="majorHAnsi" w:eastAsiaTheme="majorHAnsi" w:hAnsiTheme="majorHAnsi"/>
          <w:b/>
          <w:bCs/>
        </w:rPr>
        <w:t>min_support</w:t>
      </w:r>
      <w:proofErr w:type="spellEnd"/>
      <w:r w:rsidRPr="00570CFC">
        <w:rPr>
          <w:rFonts w:asciiTheme="majorHAnsi" w:eastAsiaTheme="majorHAnsi" w:hAnsiTheme="majorHAnsi"/>
          <w:b/>
          <w:bCs/>
        </w:rPr>
        <w:t xml:space="preserve"> 하한과 박스 균일성의 관계</w:t>
      </w:r>
    </w:p>
    <w:p w14:paraId="51F14118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박스 크기가 균일해지는 원인이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설정 자체에 있는지 확인하기 위해,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를 100(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표준)에서 20, 5, 2로 낮춰가며 박스 분포를 비교했다.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2000"/>
        <w:gridCol w:w="2000"/>
      </w:tblGrid>
      <w:tr w:rsidR="005154EC" w14:paraId="140DC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2F5B06F1" w14:textId="77777777" w:rsidR="005154EC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min_support</w:t>
            </w:r>
            <w:proofErr w:type="spellEnd"/>
          </w:p>
        </w:tc>
        <w:tc>
          <w:tcPr>
            <w:tcW w:w="2800" w:type="dxa"/>
            <w:shd w:val="clear" w:color="auto" w:fill="D9E2F3"/>
          </w:tcPr>
          <w:p w14:paraId="5226217E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support 범위</w:t>
            </w:r>
          </w:p>
        </w:tc>
        <w:tc>
          <w:tcPr>
            <w:tcW w:w="2000" w:type="dxa"/>
            <w:shd w:val="clear" w:color="auto" w:fill="D9E2F3"/>
          </w:tcPr>
          <w:p w14:paraId="1BDFC5BA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최대/최소</w:t>
            </w:r>
          </w:p>
        </w:tc>
        <w:tc>
          <w:tcPr>
            <w:tcW w:w="2000" w:type="dxa"/>
            <w:shd w:val="clear" w:color="auto" w:fill="D9E2F3"/>
          </w:tcPr>
          <w:p w14:paraId="72B13A12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D&gt;0.95 비율</w:t>
            </w:r>
          </w:p>
        </w:tc>
      </w:tr>
      <w:tr w:rsidR="005154EC" w14:paraId="4D06C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0585226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100 (</w:t>
            </w:r>
            <w:proofErr w:type="spellStart"/>
            <w:r>
              <w:rPr>
                <w:rFonts w:ascii="맑은 고딕" w:eastAsia="맑은 고딕" w:hAnsi="맑은 고딕" w:cs="맑은 고딕"/>
              </w:rPr>
              <w:t>원논문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800" w:type="dxa"/>
          </w:tcPr>
          <w:p w14:paraId="07546B74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100~113</w:t>
            </w:r>
          </w:p>
        </w:tc>
        <w:tc>
          <w:tcPr>
            <w:tcW w:w="2000" w:type="dxa"/>
          </w:tcPr>
          <w:p w14:paraId="4CAAE721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1.13배</w:t>
            </w:r>
          </w:p>
        </w:tc>
        <w:tc>
          <w:tcPr>
            <w:tcW w:w="2000" w:type="dxa"/>
          </w:tcPr>
          <w:p w14:paraId="5371BA59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0.0%</w:t>
            </w:r>
          </w:p>
        </w:tc>
      </w:tr>
      <w:tr w:rsidR="005154EC" w14:paraId="3B6D6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9310E31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</w:t>
            </w:r>
          </w:p>
        </w:tc>
        <w:tc>
          <w:tcPr>
            <w:tcW w:w="2800" w:type="dxa"/>
          </w:tcPr>
          <w:p w14:paraId="09FA2746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20~34</w:t>
            </w:r>
          </w:p>
        </w:tc>
        <w:tc>
          <w:tcPr>
            <w:tcW w:w="2000" w:type="dxa"/>
          </w:tcPr>
          <w:p w14:paraId="5CC1681E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1.70배</w:t>
            </w:r>
          </w:p>
        </w:tc>
        <w:tc>
          <w:tcPr>
            <w:tcW w:w="2000" w:type="dxa"/>
          </w:tcPr>
          <w:p w14:paraId="02C42FE1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0.0%</w:t>
            </w:r>
          </w:p>
        </w:tc>
      </w:tr>
      <w:tr w:rsidR="005154EC" w14:paraId="6AEF02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F90582F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2800" w:type="dxa"/>
          </w:tcPr>
          <w:p w14:paraId="0F93E742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5~11</w:t>
            </w:r>
          </w:p>
        </w:tc>
        <w:tc>
          <w:tcPr>
            <w:tcW w:w="2000" w:type="dxa"/>
          </w:tcPr>
          <w:p w14:paraId="381B7CE9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2.20배</w:t>
            </w:r>
          </w:p>
        </w:tc>
        <w:tc>
          <w:tcPr>
            <w:tcW w:w="2000" w:type="dxa"/>
          </w:tcPr>
          <w:p w14:paraId="1193B763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1.4%</w:t>
            </w:r>
          </w:p>
        </w:tc>
      </w:tr>
      <w:tr w:rsidR="005154EC" w14:paraId="01CD9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2E38DC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 (사실상 없음)</w:t>
            </w:r>
          </w:p>
        </w:tc>
        <w:tc>
          <w:tcPr>
            <w:tcW w:w="2800" w:type="dxa"/>
          </w:tcPr>
          <w:p w14:paraId="7E483A3E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2~5</w:t>
            </w:r>
          </w:p>
        </w:tc>
        <w:tc>
          <w:tcPr>
            <w:tcW w:w="2000" w:type="dxa"/>
          </w:tcPr>
          <w:p w14:paraId="33EF5323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2.50배</w:t>
            </w:r>
          </w:p>
        </w:tc>
        <w:tc>
          <w:tcPr>
            <w:tcW w:w="2000" w:type="dxa"/>
          </w:tcPr>
          <w:p w14:paraId="7F552DDE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2.2%</w:t>
            </w:r>
          </w:p>
        </w:tc>
      </w:tr>
    </w:tbl>
    <w:p w14:paraId="47B7AB52" w14:textId="77777777" w:rsidR="005154EC" w:rsidRDefault="005154EC">
      <w:pPr>
        <w:spacing w:after="150"/>
      </w:pPr>
    </w:p>
    <w:p w14:paraId="6C343943" w14:textId="77777777" w:rsidR="005154EC" w:rsidRDefault="00000000">
      <w:pPr>
        <w:spacing w:after="1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를 낮추면 크기 다양성은 소폭 증가하나(1.13배→2.50배), 그 대가로 desirability가 비현실적으로 높은(D&gt;0.95) 박스의 비율이 0%에서 2.2%까지 증가했다. 이는 관측치 수가 극히 적어 우연히 완벽해 보이는, 통계적으로 신뢰하기 어려운 박스가 늘어난다는 의미다. 원논문이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=100이라는 하한을 둔 것은 이러한 신뢰도 훼손을 방지하기 위한 정당한 설계로 확인된다.</w:t>
      </w:r>
    </w:p>
    <w:p w14:paraId="2A85B355" w14:textId="77777777" w:rsidR="005154EC" w:rsidRDefault="00000000">
      <w:pPr>
        <w:pStyle w:val="1"/>
        <w:spacing w:before="300" w:after="150"/>
      </w:pPr>
      <w:r>
        <w:t xml:space="preserve">3. </w:t>
      </w:r>
      <w:r>
        <w:t>종합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결론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200"/>
      </w:tblGrid>
      <w:tr w:rsidR="005154EC" w14:paraId="2E0D7B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3"/>
          </w:tcPr>
          <w:p w14:paraId="663D7E3F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실험</w:t>
            </w:r>
          </w:p>
        </w:tc>
        <w:tc>
          <w:tcPr>
            <w:tcW w:w="3200" w:type="dxa"/>
            <w:shd w:val="clear" w:color="auto" w:fill="D9E2F3"/>
          </w:tcPr>
          <w:p w14:paraId="602123D5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조건</w:t>
            </w:r>
          </w:p>
        </w:tc>
        <w:tc>
          <w:tcPr>
            <w:tcW w:w="4200" w:type="dxa"/>
            <w:shd w:val="clear" w:color="auto" w:fill="D9E2F3"/>
          </w:tcPr>
          <w:p w14:paraId="72688043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핵심 결과</w:t>
            </w:r>
          </w:p>
        </w:tc>
      </w:tr>
      <w:tr w:rsidR="005154EC" w14:paraId="6EF231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635C2F0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1차</w:t>
            </w:r>
          </w:p>
        </w:tc>
        <w:tc>
          <w:tcPr>
            <w:tcW w:w="3200" w:type="dxa"/>
          </w:tcPr>
          <w:p w14:paraId="678453A4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콘크리트 표준 설정</w:t>
            </w:r>
          </w:p>
        </w:tc>
        <w:tc>
          <w:tcPr>
            <w:tcW w:w="4200" w:type="dxa"/>
          </w:tcPr>
          <w:p w14:paraId="5A89AE57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비대칭 0건, ECC 거의 동일</w:t>
            </w:r>
          </w:p>
        </w:tc>
      </w:tr>
      <w:tr w:rsidR="005154EC" w14:paraId="0BEFC7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C6D320E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2차</w:t>
            </w:r>
          </w:p>
        </w:tc>
        <w:tc>
          <w:tcPr>
            <w:tcW w:w="3200" w:type="dxa"/>
          </w:tcPr>
          <w:p w14:paraId="64261FEC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Factory(14배 확장)</w:t>
            </w:r>
          </w:p>
        </w:tc>
        <w:tc>
          <w:tcPr>
            <w:tcW w:w="4200" w:type="dxa"/>
          </w:tcPr>
          <w:p w14:paraId="25A37C99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비대칭 0건 재현 → 구조적 특성 확증</w:t>
            </w:r>
          </w:p>
        </w:tc>
      </w:tr>
      <w:tr w:rsidR="005154EC" w14:paraId="096B71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8C87C58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3차</w:t>
            </w:r>
          </w:p>
        </w:tc>
        <w:tc>
          <w:tcPr>
            <w:tcW w:w="3200" w:type="dxa"/>
          </w:tcPr>
          <w:p w14:paraId="0E56EDF3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인위적 비대칭 유발</w:t>
            </w:r>
          </w:p>
        </w:tc>
        <w:tc>
          <w:tcPr>
            <w:tcW w:w="4200" w:type="dxa"/>
          </w:tcPr>
          <w:p w14:paraId="37F33CAC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위험(붕괴) 실증, 이점은 +0.0009로 미미</w:t>
            </w:r>
          </w:p>
        </w:tc>
      </w:tr>
      <w:tr w:rsidR="005154EC" w14:paraId="557AE7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9F0B4C5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4차</w:t>
            </w:r>
          </w:p>
        </w:tc>
        <w:tc>
          <w:tcPr>
            <w:tcW w:w="3200" w:type="dxa"/>
          </w:tcPr>
          <w:p w14:paraId="2253D564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비대칭 없는 표준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재검증</w:t>
            </w:r>
            <w:proofErr w:type="spellEnd"/>
          </w:p>
        </w:tc>
        <w:tc>
          <w:tcPr>
            <w:tcW w:w="4200" w:type="dxa"/>
          </w:tcPr>
          <w:p w14:paraId="052E1F7E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극단 가중치는 여기서도 손해(-0.0195)</w:t>
            </w:r>
          </w:p>
        </w:tc>
      </w:tr>
      <w:tr w:rsidR="005154EC" w14:paraId="25A805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702E72F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5차</w:t>
            </w:r>
          </w:p>
        </w:tc>
        <w:tc>
          <w:tcPr>
            <w:tcW w:w="3200" w:type="dxa"/>
          </w:tcPr>
          <w:p w14:paraId="756BE75D" w14:textId="77777777" w:rsidR="005154EC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</w:rPr>
              <w:t>min_support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하한 실험</w:t>
            </w:r>
          </w:p>
        </w:tc>
        <w:tc>
          <w:tcPr>
            <w:tcW w:w="4200" w:type="dxa"/>
          </w:tcPr>
          <w:p w14:paraId="4797CD33" w14:textId="77777777" w:rsidR="005154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하한을 낮추면 신뢰도 훼손(D&gt;0.95 증가)</w:t>
            </w:r>
          </w:p>
        </w:tc>
      </w:tr>
    </w:tbl>
    <w:p w14:paraId="39E60A82" w14:textId="77777777" w:rsidR="005154EC" w:rsidRDefault="005154EC">
      <w:pPr>
        <w:spacing w:after="200"/>
      </w:pPr>
    </w:p>
    <w:p w14:paraId="492DEF1F" w14:textId="77777777" w:rsidR="005154EC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종합 결론:</w:t>
      </w:r>
    </w:p>
    <w:p w14:paraId="023B668F" w14:textId="77777777" w:rsidR="005154EC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Tversky의 위험(부적절한 극단적 가중치 사용 시 성능 붕괴)은 명확히 실증되었다. W_LARGE=0으로 가면 ECC가 최대 81%p 하락한다.</w:t>
      </w:r>
    </w:p>
    <w:p w14:paraId="3BDA3DD0" w14:textId="77777777" w:rsidR="005154EC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반면 이점은 매우 제한적이다. 실제 데이터(콘크리트, factory) 표준 설정에서는 박스 크기 비대칭이 구조적으로 거의 발생하지 않으며(MRS-PRIM의 patient peeling 특성), 인위적으로 비대칭을 만든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조건에서조차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최적 가중치의 개선폭은 +0.0009 수준으로 미미하다.</w:t>
      </w:r>
    </w:p>
    <w:p w14:paraId="3E822171" w14:textId="77777777" w:rsidR="005154EC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비대칭이 없는 표준 데이터에서도 극단적 가중치는 소폭의 손해(-0.0195)를 유발할 수 있어, 가중치를 함부로 극단으로 두는 것은 어떤 데이터에서도 권장되지 않는다.</w:t>
      </w:r>
    </w:p>
    <w:p w14:paraId="2149C478" w14:textId="77777777" w:rsidR="005154EC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박스 크기 균일성의 원인은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라는 정당한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하이퍼파라미터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명시 값) 자체에 있으며, 이를 낮추어 크기 다양성을 인위적으로 늘리려는 시도는 박스의 통계적 신뢰도를 훼손하는 대가를 치른다.</w:t>
      </w:r>
    </w:p>
    <w:p w14:paraId="2602EFF6" w14:textId="2D694109" w:rsidR="005154EC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종합적으로, Tversky 유사도는 이론적으로 타당한 개선안이나, 본 프레임워크가 실제로 생성하는 박스 집단의 구조적 특성(크기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균일성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) 때문에 실효성이 제한적이다. 이 프레임워크에서는 '적정 범위의 가중치를 쓰면 Jaccard와 동등하거나 근소하게 우수하고, 극단적 가중치는 항상 위험하다'는 것이 결론이다.</w:t>
      </w:r>
    </w:p>
    <w:p w14:paraId="59BC64F7" w14:textId="2BA70104" w:rsidR="005154EC" w:rsidRPr="00570CFC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570CFC">
        <w:rPr>
          <w:rFonts w:asciiTheme="majorHAnsi" w:eastAsiaTheme="majorHAnsi" w:hAnsiTheme="majorHAnsi"/>
          <w:b/>
          <w:bCs/>
        </w:rPr>
        <w:t>4. 한계 및 후속 과제</w:t>
      </w:r>
    </w:p>
    <w:p w14:paraId="2B7A4534" w14:textId="77777777" w:rsidR="005154EC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본 실험은 콘크리트·factory 두 데이터에 한정된다. 박스 크기가 자연적으로 크게 다양한 데이터(예: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개념이 없는 다른 계열의 subregion 발견 알고리즘)에서는 결론이 달라질 수 있다.</w:t>
      </w:r>
    </w:p>
    <w:p w14:paraId="0CBD9DD5" w14:textId="77777777" w:rsidR="005154EC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가중치 최적화는 격자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(grid search)으로 수행했으며, 데이터에 따라 최적 가중치를 자동으로 결정하는 방법론은 아직 제시하지 못했다.</w:t>
      </w:r>
    </w:p>
    <w:p w14:paraId="615CA1DC" w14:textId="579DEE17" w:rsidR="005154EC" w:rsidRDefault="005154EC" w:rsidP="00D0628B">
      <w:pPr>
        <w:spacing w:after="80"/>
        <w:rPr>
          <w:rFonts w:hint="eastAsia"/>
        </w:rPr>
      </w:pPr>
    </w:p>
    <w:sectPr w:rsidR="005154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A3FA1"/>
    <w:multiLevelType w:val="hybridMultilevel"/>
    <w:tmpl w:val="A8821FBC"/>
    <w:lvl w:ilvl="0" w:tplc="CD7C8676">
      <w:start w:val="1"/>
      <w:numFmt w:val="bullet"/>
      <w:lvlText w:val="●"/>
      <w:lvlJc w:val="left"/>
      <w:pPr>
        <w:ind w:left="720" w:hanging="360"/>
      </w:pPr>
    </w:lvl>
    <w:lvl w:ilvl="1" w:tplc="EC449DFC">
      <w:start w:val="1"/>
      <w:numFmt w:val="bullet"/>
      <w:lvlText w:val="○"/>
      <w:lvlJc w:val="left"/>
      <w:pPr>
        <w:ind w:left="1440" w:hanging="360"/>
      </w:pPr>
    </w:lvl>
    <w:lvl w:ilvl="2" w:tplc="7CA676D4">
      <w:start w:val="1"/>
      <w:numFmt w:val="bullet"/>
      <w:lvlText w:val="■"/>
      <w:lvlJc w:val="left"/>
      <w:pPr>
        <w:ind w:left="2160" w:hanging="360"/>
      </w:pPr>
    </w:lvl>
    <w:lvl w:ilvl="3" w:tplc="2B4441FC">
      <w:start w:val="1"/>
      <w:numFmt w:val="bullet"/>
      <w:lvlText w:val="●"/>
      <w:lvlJc w:val="left"/>
      <w:pPr>
        <w:ind w:left="2880" w:hanging="360"/>
      </w:pPr>
    </w:lvl>
    <w:lvl w:ilvl="4" w:tplc="C9EA9842">
      <w:start w:val="1"/>
      <w:numFmt w:val="bullet"/>
      <w:lvlText w:val="○"/>
      <w:lvlJc w:val="left"/>
      <w:pPr>
        <w:ind w:left="3600" w:hanging="360"/>
      </w:pPr>
    </w:lvl>
    <w:lvl w:ilvl="5" w:tplc="988A85D2">
      <w:start w:val="1"/>
      <w:numFmt w:val="bullet"/>
      <w:lvlText w:val="■"/>
      <w:lvlJc w:val="left"/>
      <w:pPr>
        <w:ind w:left="4320" w:hanging="360"/>
      </w:pPr>
    </w:lvl>
    <w:lvl w:ilvl="6" w:tplc="5E32292A">
      <w:start w:val="1"/>
      <w:numFmt w:val="bullet"/>
      <w:lvlText w:val="●"/>
      <w:lvlJc w:val="left"/>
      <w:pPr>
        <w:ind w:left="5040" w:hanging="360"/>
      </w:pPr>
    </w:lvl>
    <w:lvl w:ilvl="7" w:tplc="83E0BE26">
      <w:start w:val="1"/>
      <w:numFmt w:val="bullet"/>
      <w:lvlText w:val="●"/>
      <w:lvlJc w:val="left"/>
      <w:pPr>
        <w:ind w:left="5760" w:hanging="360"/>
      </w:pPr>
    </w:lvl>
    <w:lvl w:ilvl="8" w:tplc="32FAF540">
      <w:start w:val="1"/>
      <w:numFmt w:val="bullet"/>
      <w:lvlText w:val="●"/>
      <w:lvlJc w:val="left"/>
      <w:pPr>
        <w:ind w:left="6480" w:hanging="360"/>
      </w:pPr>
    </w:lvl>
  </w:abstractNum>
  <w:num w:numId="1" w16cid:durableId="254478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EC"/>
    <w:rsid w:val="005154EC"/>
    <w:rsid w:val="00570CFC"/>
    <w:rsid w:val="00C0547F"/>
    <w:rsid w:val="00D0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27F9"/>
  <w15:docId w15:val="{FE3D6905-F342-43CA-99F4-7DDEFF27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ＬＥＥ Ｊｅｏｎｇｊｉｎ(nr1705is)</cp:lastModifiedBy>
  <cp:revision>2</cp:revision>
  <dcterms:created xsi:type="dcterms:W3CDTF">2026-07-23T08:14:00Z</dcterms:created>
  <dcterms:modified xsi:type="dcterms:W3CDTF">2026-07-23T08:28:00Z</dcterms:modified>
</cp:coreProperties>
</file>