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900"/>
        <w:jc w:val="center"/>
      </w:pPr>
      <w:r>
        <w:rPr>
          <w:rFonts w:ascii="Malgun Gothic" w:cs="Malgun Gothic" w:eastAsia="Malgun Gothic" w:hAnsi="Malgun Gothic"/>
          <w:b/>
          <w:bCs/>
          <w:color w:val="17365D"/>
          <w:sz w:val="38"/>
          <w:szCs w:val="38"/>
        </w:rPr>
        <w:t xml:space="preserve">Stochastic PRIM 추가 연구 핵심 결과</w:t>
      </w:r>
    </w:p>
    <w:p>
      <w:pPr>
        <w:spacing w:after="220"/>
        <w:jc w:val="center"/>
      </w:pPr>
      <w:r>
        <w:rPr>
          <w:rFonts w:ascii="Malgun Gothic" w:cs="Malgun Gothic" w:eastAsia="Malgun Gothic" w:hAnsi="Malgun Gothic"/>
          <w:color w:val="666666"/>
          <w:sz w:val="23"/>
          <w:szCs w:val="23"/>
        </w:rPr>
        <w:t xml:space="preserve">기존 Idea 1–4 결과보고서 이후의 방법론 보완·외부 검증·해석상 한계</w:t>
      </w:r>
    </w:p>
    <w:p>
      <w:pPr>
        <w:spacing w:after="700"/>
        <w:jc w:val="center"/>
      </w:pPr>
      <w:r>
        <w:rPr>
          <w:rFonts w:ascii="Malgun Gothic" w:cs="Malgun Gothic" w:eastAsia="Malgun Gothic" w:hAnsi="Malgun Gothic"/>
          <w:color w:val="666666"/>
          <w:sz w:val="20"/>
          <w:szCs w:val="20"/>
        </w:rPr>
        <w:t xml:space="preserve">작성 기준일: 2026년 8월 27일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50"/>
          <w:left w:type="dxa" w:w="180"/>
          <w:bottom w:type="dxa" w:w="150"/>
          <w:right w:type="dxa" w:w="180"/>
        </w:tblCellMar>
      </w:tblPr>
      <w:tblGrid>
        <w:gridCol w:w="9026"/>
      </w:tblGrid>
      <w:tr>
        <w:tc>
          <w:tcPr>
            <w:tcW w:type="dxa" w:w="90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2CC" w:val="clear"/>
          </w:tcPr>
          <w:p>
            <w:pPr>
              <w:spacing w:after="8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7365D"/>
                <w:sz w:val="22"/>
                <w:szCs w:val="22"/>
              </w:rPr>
              <w:t xml:space="preserve">핵심 결론</w:t>
            </w:r>
          </w:p>
          <w:p>
            <w:pPr>
              <w:spacing w:after="2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RATIO2 선택과 최종 평가를 분리하여 검증 누수를 제거했고, Jaccard 대체안과 reliability weighting의 일반화 가능성을 추가 점검했다. 가장 중요한 후속 결과는 MRS-PRIM의 effective cluster 수(N_eff)가 실제 고성능 영역 수를 복원하지 못할 수 있다는 점이다. 통제 합성실험에서는 정답이 1개일 때 평균 47.0개, 정답이 3개일 때 평균 46.4개의 effective cluster가 산출되었다.</w:t>
            </w:r>
          </w:p>
        </w:tc>
      </w:tr>
    </w:tbl>
    <w:p>
      <w:pPr>
        <w:spacing w:after="140"/>
      </w:pPr>
    </w:p>
    <w:p>
      <w:pPr>
        <w:pStyle w:val="Heading1"/>
        <w:spacing w:after="160" w:before="380"/>
      </w:pPr>
      <w:r>
        <w:rPr>
          <w:rFonts w:ascii="Malgun Gothic" w:cs="Malgun Gothic" w:eastAsia="Malgun Gothic" w:hAnsi="Malgun Gothic"/>
          <w:b/>
          <w:bCs/>
          <w:color w:val="17365D"/>
          <w:sz w:val="29"/>
          <w:szCs w:val="29"/>
        </w:rPr>
        <w:t xml:space="preserve">1. 문서의 목적과 범위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 문서는 기존 Idea 1–4 최종 결과보고서에 충분히 반영되지 않은 후속 연구를 정리한다. 원 논문의 MRS-PRIM 생성·Jaccard 군집화·ECC 탐색 로직은 수정하지 않고, 검증 설계 보완과 외부 통제실험을 통해 해석 가능한 범위를 점검했다.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코드가 구현된 사실과 실제 실행 결과가 저장된 사실을 구분한다.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기존 보고서의 탐색 결과는 보존하되, 검증 누수나 구조적 한계가 확인된 부분은 해석을 보정한다.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합성실험의 결과를 실제 Concrete 물리공간의 직접 증명으로 확대 해석하지 않는다.</w:t>
      </w:r>
    </w:p>
    <w:p>
      <w:pPr>
        <w:pStyle w:val="Heading1"/>
        <w:spacing w:after="160" w:before="380"/>
      </w:pPr>
      <w:r>
        <w:rPr>
          <w:rFonts w:ascii="Malgun Gothic" w:cs="Malgun Gothic" w:eastAsia="Malgun Gothic" w:hAnsi="Malgun Gothic"/>
          <w:b/>
          <w:bCs/>
          <w:color w:val="17365D"/>
          <w:sz w:val="29"/>
          <w:szCs w:val="29"/>
        </w:rPr>
        <w:t xml:space="preserve">2. Idea 1 — RATIO2 검증 누수 제거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  <w:b/>
          <w:bCs/>
          <w:color w:val="2F75B5"/>
          <w:sz w:val="24"/>
          <w:szCs w:val="24"/>
        </w:rPr>
        <w:t xml:space="preserve">2.1 기존 문제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기존 방식은 2차 PRIM의 수축 강도인 RATIO2를 선택한 데이터와 최종 성능을 평가한 데이터가 같을 수 있었다. 여러 후보 중 해당 데이터에 가장 잘 맞는 값을 고른 뒤 같은 데이터로 성능을 보고하면 실제보다 성능이 좋게 보이는 선택 편향이 발생한다.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  <w:b/>
          <w:bCs/>
          <w:color w:val="2F75B5"/>
          <w:sz w:val="24"/>
          <w:szCs w:val="24"/>
        </w:rPr>
        <w:t xml:space="preserve">2.2 수정된 nested hold-out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데이터 구간</w:t>
            </w:r>
          </w:p>
        </w:tc>
        <w:tc>
          <w:tcPr>
            <w:tcW w:type="dxa" w:w="64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Outer training</w:t>
            </w:r>
          </w:p>
        </w:tc>
        <w:tc>
          <w:tcPr>
            <w:tcW w:type="dxa" w:w="64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방법 개발 전체에 사용</w:t>
            </w:r>
          </w:p>
        </w:tc>
      </w:tr>
      <w:tr>
        <w:tc>
          <w:tcPr>
            <w:tcW w:type="dxa" w:w="26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Inner training</w:t>
            </w:r>
          </w:p>
        </w:tc>
        <w:tc>
          <w:tcPr>
            <w:tcW w:type="dxa" w:w="64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candidate box와 cluster 생성</w:t>
            </w:r>
          </w:p>
        </w:tc>
      </w:tr>
      <w:tr>
        <w:tc>
          <w:tcPr>
            <w:tcW w:type="dxa" w:w="26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Inner validation</w:t>
            </w:r>
          </w:p>
        </w:tc>
        <w:tc>
          <w:tcPr>
            <w:tcW w:type="dxa" w:w="64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RATIO2 선택에만 사용</w:t>
            </w:r>
          </w:p>
        </w:tc>
      </w:tr>
      <w:tr>
        <w:tc>
          <w:tcPr>
            <w:tcW w:type="dxa" w:w="26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Outer confirmation</w:t>
            </w:r>
          </w:p>
        </w:tc>
        <w:tc>
          <w:tcPr>
            <w:tcW w:type="dxa" w:w="64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선택 완료 후 최종 평가에 1회 사용</w:t>
            </w:r>
          </w:p>
        </w:tc>
      </w:tr>
    </w:tbl>
    <w:p>
      <w:pPr>
        <w:spacing w:after="140"/>
      </w:pP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Concrete에서는 전체 1,030개 관측치를 outer training 721개와 confirmation 309개로 나누고, outer training을 다시 inner training 504개와 validation 217개로 분할했다. 최종 confirmation 309개는 RATIO2가 결정될 때까지 보지 않는다.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  <w:b/>
          <w:bCs/>
          <w:color w:val="2F75B5"/>
          <w:sz w:val="24"/>
          <w:szCs w:val="24"/>
        </w:rPr>
        <w:t xml:space="preserve">2.3 관측치 safeguard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2차 PRIM 최소 support는 max(20, n_box × RATIO2)이다. 여기서 20은 박스 개수가 아니라 학습 관측치 수의 하한이다.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validation에서 수축 후 평균 관측치가 최소 25개이면서, 수축 전 평균 관측치의 50% 이상 남는 후보만 우선 채택한다.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조건을 만족하는 후보가 없으면 validation 관측치를 가장 많이 보존하는 후보를 fallback으로 사용한다.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Concrete·Factory·Naval용 nested 구현을 마련했으며, Concrete의 inner MIN_SUPPORT는 50·75·100 비교 후 균형안인 75를 사용했다.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50"/>
          <w:left w:type="dxa" w:w="180"/>
          <w:bottom w:type="dxa" w:w="150"/>
          <w:right w:type="dxa" w:w="180"/>
        </w:tblCellMar>
      </w:tblPr>
      <w:tblGrid>
        <w:gridCol w:w="9026"/>
      </w:tblGrid>
      <w:tr>
        <w:tc>
          <w:tcPr>
            <w:tcW w:type="dxa" w:w="90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CE4D6" w:val="clear"/>
          </w:tcPr>
          <w:p>
            <w:pPr>
              <w:spacing w:after="8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7365D"/>
                <w:sz w:val="22"/>
                <w:szCs w:val="22"/>
              </w:rPr>
              <w:t xml:space="preserve">해석상 주의</w:t>
            </w:r>
          </w:p>
          <w:p>
            <w:pPr>
              <w:spacing w:after="2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기존 Idea 1 보고서의 수치는 개발 과정의 탐색 결과로는 유효하지만, RATIO2를 선택한 완성 절차의 누수 없는 최종 성능으로 해석해서는 안 된다. corrected nested 절차의 수치 결과는 실행·저장된 결과만 별도로 보고해야 한다.</w:t>
            </w:r>
          </w:p>
        </w:tc>
      </w:tr>
    </w:tbl>
    <w:p>
      <w:pPr>
        <w:pStyle w:val="Heading1"/>
        <w:spacing w:after="160" w:before="380"/>
      </w:pPr>
      <w:r>
        <w:rPr>
          <w:rFonts w:ascii="Malgun Gothic" w:cs="Malgun Gothic" w:eastAsia="Malgun Gothic" w:hAnsi="Malgun Gothic"/>
          <w:b/>
          <w:bCs/>
          <w:color w:val="17365D"/>
          <w:sz w:val="29"/>
          <w:szCs w:val="29"/>
        </w:rPr>
        <w:t xml:space="preserve">3. Idea 2 — Naval에서 Jaccard와 Tversky 비교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Tversky 유사도는 작은 박스가 큰 박스에 포함되는 비대칭 관계를 Jaccard보다 유연하게 반영하려는 아이디어였다. 하지만 효과가 있으려면 박스 support가 충분히 달라야 한다.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Concrete와 Factory에서는 MRS-PRIM 박스 크기가 거의 같아 Tversky가 활용할 비대칭 신호가 부족했다.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Naval 데이터에서도 같은 박스 집합에 Jaccard와 Tversky만 바꾸어 비교했다.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세션에서 확인된 실행 결과는 Jaccard ECC 약 0.9783, 제안 Tversky ECC 약 0.9769로 Tversky가 약 0.0014 낮았다. 이 실행 수치는 별도 결과 CSV로 영구 저장되지는 않았다.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따라서 데이터셋이 바뀌어도 현재 box 생성 구조가 support를 비슷하게 만들면 Tversky의 장점은 제한적이라는 결론을 강화한다.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50"/>
          <w:left w:type="dxa" w:w="180"/>
          <w:bottom w:type="dxa" w:w="150"/>
          <w:right w:type="dxa" w:w="180"/>
        </w:tblCellMar>
      </w:tblPr>
      <w:tblGrid>
        <w:gridCol w:w="9026"/>
      </w:tblGrid>
      <w:tr>
        <w:tc>
          <w:tcPr>
            <w:tcW w:type="dxa" w:w="90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E2F0D9" w:val="clear"/>
          </w:tcPr>
          <w:p>
            <w:pPr>
              <w:spacing w:after="8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7365D"/>
                <w:sz w:val="22"/>
                <w:szCs w:val="22"/>
              </w:rPr>
              <w:t xml:space="preserve">Idea 2 결론</w:t>
            </w:r>
          </w:p>
          <w:p>
            <w:pPr>
              <w:spacing w:after="2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Tversky 자체가 잘못된 유사도라는 뜻은 아니다. 현재 MRS-PRIM이 만드는 거의 같은 크기의 박스에서는 추가 가중치가 의미 있는 정보를 제공하지 못하므로 원 논문의 Jaccard를 유지하는 편이 단순하고 안정적이다.</w:t>
            </w:r>
          </w:p>
        </w:tc>
      </w:tr>
    </w:tbl>
    <w:p>
      <w:pPr>
        <w:pStyle w:val="Heading1"/>
        <w:spacing w:after="160" w:before="380"/>
      </w:pPr>
      <w:r>
        <w:rPr>
          <w:rFonts w:ascii="Malgun Gothic" w:cs="Malgun Gothic" w:eastAsia="Malgun Gothic" w:hAnsi="Malgun Gothic"/>
          <w:b/>
          <w:bCs/>
          <w:color w:val="17365D"/>
          <w:sz w:val="29"/>
          <w:szCs w:val="29"/>
        </w:rPr>
        <w:t xml:space="preserve">4. Idea 3 — reliability-weighted clustering 재확인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Idea 3은 desirability와 support가 높은 박스에 더 큰 신뢰도를 주어 군집화를 개선하려는 시도였다. 가중치는 정규화된 desirability와 support의 기하평균으로 만들고, 박스 간 거리를 신뢰도에 따라 조정했다.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조건</w:t>
            </w:r>
          </w:p>
        </w:tc>
        <w:tc>
          <w:tcPr>
            <w:tcW w:type="dxa" w:w="60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핵심 결과</w:t>
            </w:r>
          </w:p>
        </w:tc>
      </w:tr>
      <w:tr>
        <w:tc>
          <w:tcPr>
            <w:tcW w:type="dxa" w:w="30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표준 MRS-PRIM 박스</w:t>
            </w:r>
          </w:p>
        </w:tc>
        <w:tc>
          <w:tcPr>
            <w:tcW w:type="dxa" w:w="60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desirability와 support의 CV가 약 2%로 작았고 gamma=0이 가장 안정적</w:t>
            </w:r>
          </w:p>
        </w:tc>
      </w:tr>
      <w:tr>
        <w:tc>
          <w:tcPr>
            <w:tcW w:type="dxa" w:w="30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가중 군집화</w:t>
            </w:r>
          </w:p>
        </w:tc>
        <w:tc>
          <w:tcPr>
            <w:tcW w:type="dxa" w:w="60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표준 조건에서는 비가중 방식보다 ECC가 낮아짐</w:t>
            </w:r>
          </w:p>
        </w:tc>
      </w:tr>
      <w:tr>
        <w:tc>
          <w:tcPr>
            <w:tcW w:type="dxa" w:w="30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인위적 다양성</w:t>
            </w:r>
          </w:p>
        </w:tc>
        <w:tc>
          <w:tcPr>
            <w:tcW w:type="dxa" w:w="60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약한 가중에서만 매우 작은 개선이 나타남</w:t>
            </w:r>
          </w:p>
        </w:tc>
      </w:tr>
    </w:tbl>
    <w:p>
      <w:pPr>
        <w:spacing w:after="140"/>
      </w:pP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즉 표준 박스들의 품질과 크기가 너무 비슷해 가중치가 구별할 신호가 없었다. 복잡도만 늘고 성능은 오히려 낮아져 Idea 3은 중단하는 것이 타당하다.</w:t>
      </w:r>
    </w:p>
    <w:p>
      <w:pPr>
        <w:pStyle w:val="Heading1"/>
        <w:spacing w:after="160" w:before="380"/>
      </w:pPr>
      <w:r>
        <w:rPr>
          <w:rFonts w:ascii="Malgun Gothic" w:cs="Malgun Gothic" w:eastAsia="Malgun Gothic" w:hAnsi="Malgun Gothic"/>
          <w:b/>
          <w:bCs/>
          <w:color w:val="17365D"/>
          <w:sz w:val="29"/>
          <w:szCs w:val="29"/>
        </w:rPr>
        <w:t xml:space="preserve">5. Idea 4 — RSM 합성검증 이후의 추가 연구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  <w:b/>
          <w:bCs/>
          <w:color w:val="2F75B5"/>
          <w:sz w:val="24"/>
          <w:szCs w:val="24"/>
        </w:rPr>
        <w:t xml:space="preserve">5.1 6차 RSM 결과의 해석 보정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6차에서는 Concrete 1,030개 관측치로 2차 반응표면모형(RSM)을 적합했다. 학습 R²는 약 0.811, 고정 5-fold CV R²는 약 0.783, RMSE는 약 7.78 MPa였다. 예측 강도를 목표 60 MPa의 Nominal-The-Better desirability로 변환했다.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G를 2·3·5로 바꾸어도 입력 X, RSM 예측 D, pipeline seed는 같고 정답 중심 label 수만 달라졌다. 따라서 K*, ECC, N_eff가 동일한 것은 자연스럽다. 여러 D=1 지점은 서로 독립된 봉우리의 증거가 아니라 RSM(x)=60을 만족하는 여러 해 또는 넓은 level set일 수 있다.</w:t>
      </w: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  <w:b/>
          <w:bCs/>
          <w:color w:val="2F75B5"/>
          <w:sz w:val="24"/>
          <w:szCs w:val="24"/>
        </w:rPr>
        <w:t xml:space="preserve">5.2 RSM 고성능 영역 연결성 검사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고성능 후보를 k-NN graph로 연결하되, 두 점 사이 직선 보간 경로 전체가 desirability 임계값 이상일 때만 edge를 인정했다. D 임계값 0.80·0.85·0.90·0.95, 정규화 반경 0.04·0.06·0.08·0.10, 원 RSM과 20회의 recipe-cluster bootstrap을 검사했다.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검사 범위</w:t>
            </w:r>
          </w:p>
        </w:tc>
        <w:tc>
          <w:tcPr>
            <w:tcW w:type="dxa" w:w="54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c>
          <w:tcPr>
            <w:tcW w:type="dxa" w:w="36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원 RSM 4 threshold × 4 radius</w:t>
            </w:r>
          </w:p>
        </w:tc>
        <w:tc>
          <w:tcPr>
            <w:tcW w:type="dxa" w:w="54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16/16 조합에서 단일 연결 영역 미지지</w:t>
            </w:r>
          </w:p>
        </w:tc>
      </w:tr>
      <w:tr>
        <w:tc>
          <w:tcPr>
            <w:tcW w:type="dxa" w:w="36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20 bootstrap × 16 조합</w:t>
            </w:r>
          </w:p>
        </w:tc>
        <w:tc>
          <w:tcPr>
            <w:tcW w:type="dxa" w:w="54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320/320 조합에서 단일 연결 영역 미지지</w:t>
            </w:r>
          </w:p>
        </w:tc>
      </w:tr>
      <w:tr>
        <w:tc>
          <w:tcPr>
            <w:tcW w:type="dxa" w:w="36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전체 결과</w:t>
            </w:r>
          </w:p>
        </w:tc>
        <w:tc>
          <w:tcPr>
            <w:tcW w:type="dxa" w:w="54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336/336에서 connected_region_supported=False</w:t>
            </w:r>
          </w:p>
        </w:tc>
      </w:tr>
    </w:tbl>
    <w:p>
      <w:pPr>
        <w:spacing w:after="1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50"/>
          <w:left w:type="dxa" w:w="180"/>
          <w:bottom w:type="dxa" w:w="150"/>
          <w:right w:type="dxa" w:w="180"/>
        </w:tblCellMar>
      </w:tblPr>
      <w:tblGrid>
        <w:gridCol w:w="9026"/>
      </w:tblGrid>
      <w:tr>
        <w:tc>
          <w:tcPr>
            <w:tcW w:type="dxa" w:w="90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CE4D6" w:val="clear"/>
          </w:tcPr>
          <w:p>
            <w:pPr>
              <w:spacing w:after="8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7365D"/>
                <w:sz w:val="22"/>
                <w:szCs w:val="22"/>
              </w:rPr>
              <w:t xml:space="preserve">연결성 결론</w:t>
            </w:r>
          </w:p>
          <w:p>
            <w:pPr>
              <w:spacing w:after="2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현재 수치검사에서는 “하나의 넓게 연결된 고성능 ridge”가 지지되지 않았다. 다만 유한 표본, recipe-like manifold, k-NN 제한과 반경 기준이 graph를 분절할 수 있으므로 연속 RSM 공간이 수학적으로 불연결임을 증명한 것은 아니다.</w:t>
            </w:r>
          </w:p>
        </w:tc>
      </w:tr>
    </w:tbl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  <w:b/>
          <w:bCs/>
          <w:color w:val="2F75B5"/>
          <w:sz w:val="24"/>
          <w:szCs w:val="24"/>
        </w:rPr>
        <w:t xml:space="preserve">5.3 정답 구조를 아는 통제 합성실험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실제 Concrete에서는 고성능 영역의 정답 개수와 연결성을 알 수 없으므로, 같은 합성 입력 X와 같은 잡음을 공유하는 두 통제군을 만들었다. 첫째는 연결된 넓은 고성능 slab 1개, 둘째는 저성능 gap으로 분리된 slab 3개이다. 원 MRS-PRIM·Jaccard clustering·ECC grid search를 변경하지 않고 pipeline seed 0–4에서 반복했다.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863"/>
        <w:gridCol w:w="2863"/>
      </w:tblGrid>
      <w:tr>
        <w:trPr>
          <w:tblHeader/>
        </w:trPr>
        <w:tc>
          <w:tcPr>
            <w:tcW w:type="dxa" w:w="33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지표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연결 정답 1개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분리 정답 3개</w:t>
            </w:r>
          </w:p>
        </w:tc>
      </w:tr>
      <w:tr>
        <w:tc>
          <w:tcPr>
            <w:tcW w:type="dxa" w:w="33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성공 실행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5/5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5/5</w:t>
            </w:r>
          </w:p>
        </w:tc>
      </w:tr>
      <w:tr>
        <w:tc>
          <w:tcPr>
            <w:tcW w:type="dxa" w:w="33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평균 N_eff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47.0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46.4</w:t>
            </w:r>
          </w:p>
        </w:tc>
      </w:tr>
      <w:tr>
        <w:tc>
          <w:tcPr>
            <w:tcW w:type="dxa" w:w="33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정답 개수 일치율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0%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33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1:1 복원률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0%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33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평균 over-split factor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47.0배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15.47배</w:t>
            </w:r>
          </w:p>
        </w:tc>
      </w:tr>
      <w:tr>
        <w:tc>
          <w:tcPr>
            <w:tcW w:type="dxa" w:w="33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평균 legacy F1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0.450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0.343</w:t>
            </w:r>
          </w:p>
        </w:tc>
      </w:tr>
      <w:tr>
        <w:tc>
          <w:tcPr>
            <w:tcW w:type="dxa" w:w="33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평균 cluster purity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0.925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0.326</w:t>
            </w:r>
          </w:p>
        </w:tc>
      </w:tr>
      <w:tr>
        <w:tc>
          <w:tcPr>
            <w:tcW w:type="dxa" w:w="33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component union coverage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0.601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0.372</w:t>
            </w:r>
          </w:p>
        </w:tc>
      </w:tr>
      <w:tr>
        <w:tc>
          <w:tcPr>
            <w:tcW w:type="dxa" w:w="330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best-cluster coverage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0.294</w:t>
            </w:r>
          </w:p>
        </w:tc>
        <w:tc>
          <w:tcPr>
            <w:tcW w:type="dxa" w:w="2863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0.347</w:t>
            </w:r>
          </w:p>
        </w:tc>
      </w:tr>
    </w:tbl>
    <w:p>
      <w:pPr>
        <w:spacing w:after="140"/>
      </w:pPr>
    </w:p>
    <w:p>
      <w:pPr>
        <w:pStyle w:val="Heading2"/>
        <w:spacing w:after="160" w:before="240"/>
      </w:pPr>
      <w:r>
        <w:rPr>
          <w:rFonts w:ascii="Malgun Gothic" w:cs="Malgun Gothic" w:eastAsia="Malgun Gothic" w:hAnsi="Malgun Gothic"/>
          <w:b/>
          <w:bCs/>
          <w:color w:val="2F75B5"/>
          <w:sz w:val="24"/>
          <w:szCs w:val="24"/>
        </w:rPr>
        <w:t xml:space="preserve">5.4 통제실험의 의미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연결 정답: 실제 1개 영역을 seed별 45–48개 effective cluster로 잘게 분할했다. 각 조각의 purity는 높지만 가장 좋은 단일 cluster가 정답의 약 29%만 덮었다.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분리 정답: 실제 3개 영역에 seed별 41–54개 effective cluster가 생겼고, 모든 effective cluster가 세 정답 component 모두와 겹쳤다.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따라서 분리 조건의 문제는 단순 과분할만이 아니다. 세 영역과 그 사이 저성능 gap을 함께 포함하는 혼합 박스로 표현하여 영역 구분에도 실패했다.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정답이 1개인지 3개인지 달라도 N_eff가 약 46–47로 거의 같았다. N_eff는 실제 독립 고성능 영역 수보다 stochastic box의 안정적 분절 정도를 반영할 가능성이 크다.</w:t>
      </w:r>
    </w:p>
    <w:p>
      <w:pPr>
        <w:pStyle w:val="Heading1"/>
        <w:spacing w:after="160" w:before="380"/>
      </w:pPr>
      <w:r>
        <w:rPr>
          <w:rFonts w:ascii="Malgun Gothic" w:cs="Malgun Gothic" w:eastAsia="Malgun Gothic" w:hAnsi="Malgun Gothic"/>
          <w:b/>
          <w:bCs/>
          <w:color w:val="17365D"/>
          <w:sz w:val="29"/>
          <w:szCs w:val="29"/>
        </w:rPr>
        <w:t xml:space="preserve">6. 산업 적용 시 위험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6276"/>
      </w:tblGrid>
      <w:tr>
        <w:trPr>
          <w:tblHeader/>
        </w:trPr>
        <w:tc>
          <w:tcPr>
            <w:tcW w:type="dxa" w:w="275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관찰된 한계</w:t>
            </w:r>
          </w:p>
        </w:tc>
        <w:tc>
          <w:tcPr>
            <w:tcW w:type="dxa" w:w="627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17365D" w:val="clear"/>
            <w:vAlign w:val="center"/>
          </w:tcPr>
          <w:p>
            <w:pPr>
              <w:spacing w:after="70" w:before="7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현장 위험</w:t>
            </w:r>
          </w:p>
        </w:tc>
      </w:tr>
      <w:tr>
        <w:tc>
          <w:tcPr>
            <w:tcW w:type="dxa" w:w="275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연결 영역 과분할</w:t>
            </w:r>
          </w:p>
        </w:tc>
        <w:tc>
          <w:tcPr>
            <w:tcW w:type="dxa" w:w="627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실제로 허용 가능한 운전·배합 범위를 지나치게 좁혀 원료 대체와 운전 유연성을 낮추고 비용을 높일 수 있음</w:t>
            </w:r>
          </w:p>
        </w:tc>
      </w:tr>
      <w:tr>
        <w:tc>
          <w:tcPr>
            <w:tcW w:type="dxa" w:w="275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분리 영역 혼합</w:t>
            </w:r>
          </w:p>
        </w:tc>
        <w:tc>
          <w:tcPr>
            <w:tcW w:type="dxa" w:w="627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서로 다른 고성능 영역 사이의 저성능 조건까지 같은 권장 범위로 오인하여 품질 미달 조합을 추천할 수 있음</w:t>
            </w:r>
          </w:p>
        </w:tc>
      </w:tr>
      <w:tr>
        <w:tc>
          <w:tcPr>
            <w:tcW w:type="dxa" w:w="275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N_eff 과해석</w:t>
            </w:r>
          </w:p>
        </w:tc>
        <w:tc>
          <w:tcPr>
            <w:tcW w:type="dxa" w:w="627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FFFFF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effective cluster 수를 독립 최적 운전영역 수로 간주하면 의사결정 구조를 잘못 이해할 수 있음</w:t>
            </w:r>
          </w:p>
        </w:tc>
      </w:tr>
      <w:tr>
        <w:tc>
          <w:tcPr>
            <w:tcW w:type="dxa" w:w="2750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left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ECC 과해석</w:t>
            </w:r>
          </w:p>
        </w:tc>
        <w:tc>
          <w:tcPr>
            <w:tcW w:type="dxa" w:w="627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F7FAFC" w:val="clear"/>
            <w:vAlign w:val="center"/>
          </w:tcPr>
          <w:p>
            <w:pPr>
              <w:spacing w:after="55" w:before="55"/>
              <w:jc w:val="center"/>
            </w:pPr>
            <w:r>
              <w:rPr>
                <w:rFonts w:ascii="Malgun Gothic" w:cs="Malgun Gothic" w:eastAsia="Malgun Gothic" w:hAnsi="Malgun Gothic"/>
                <w:color w:val="222222"/>
                <w:sz w:val="18"/>
                <w:szCs w:val="18"/>
              </w:rPr>
              <w:t xml:space="preserve">cluster 내부 박스 유사도가 높다는 사실을 실제 정답 영역 복원 성공으로 잘못 해석할 수 있음</w:t>
            </w:r>
          </w:p>
        </w:tc>
      </w:tr>
    </w:tbl>
    <w:p>
      <w:pPr>
        <w:spacing w:after="140"/>
      </w:pP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따라서 산출 박스를 곧바로 안전 운전범위나 최적 배합영역으로 사용해서는 안 된다. 각 박스 내부뿐 아니라 박스 사이의 중간 조건을 별도 실험하고, 외부 hold-out·공정 제약·물리 지식으로 확인해야 한다.</w:t>
      </w:r>
    </w:p>
    <w:p>
      <w:pPr>
        <w:pStyle w:val="Heading1"/>
        <w:spacing w:after="160" w:before="380"/>
      </w:pPr>
      <w:r>
        <w:rPr>
          <w:rFonts w:ascii="Malgun Gothic" w:cs="Malgun Gothic" w:eastAsia="Malgun Gothic" w:hAnsi="Malgun Gothic"/>
          <w:b/>
          <w:bCs/>
          <w:color w:val="17365D"/>
          <w:sz w:val="29"/>
          <w:szCs w:val="29"/>
        </w:rPr>
        <w:t xml:space="preserve">7. 종합 결론 및 권고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RATIO2 같은 선택 파라미터는 inner validation에서 결정하고 outer confirmation은 최종 1회 평가에만 사용한다.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Jaccard와 reliability weighting의 변경은 박스 support·desirability에 충분한 이질성이 있을 때만 검토한다.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ECC는 내부 일관성 지표로만 사용하고, 영역 개수·위치·연결성 복원은 별도의 synthetic truth 실험으로 검증한다.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N_eff를 실제 독립 최적 영역 수로 직접 해석하지 않는다.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산업 적용 전에는 권장 박스와 박스 사이 gap을 포함한 추가 확인실험으로 품질·안전성을 검증한다.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50"/>
          <w:left w:type="dxa" w:w="180"/>
          <w:bottom w:type="dxa" w:w="150"/>
          <w:right w:type="dxa" w:w="180"/>
        </w:tblCellMar>
      </w:tblPr>
      <w:tblGrid>
        <w:gridCol w:w="9026"/>
      </w:tblGrid>
      <w:tr>
        <w:tc>
          <w:tcPr>
            <w:tcW w:type="dxa" w:w="9026"/>
            <w:tcBorders>
              <w:top w:val="single" w:color="B7C9DC" w:sz="4"/>
              <w:left w:val="single" w:color="B7C9DC" w:sz="4"/>
              <w:bottom w:val="single" w:color="B7C9DC" w:sz="4"/>
              <w:right w:val="single" w:color="B7C9DC" w:sz="4"/>
            </w:tcBorders>
            <w:shd w:fill="E2F0D9" w:val="clear"/>
          </w:tcPr>
          <w:p>
            <w:pPr>
              <w:spacing w:after="8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7365D"/>
                <w:sz w:val="22"/>
                <w:szCs w:val="22"/>
              </w:rPr>
              <w:t xml:space="preserve">최종 연구 메시지</w:t>
            </w:r>
          </w:p>
          <w:p>
            <w:pPr>
              <w:spacing w:after="2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원 방법은 고성능 관측치 주변의 반복되는 박스 구조를 찾는 데에는 의미가 있지만, 그 결과가 실제 고성능 영역의 개수와 연결성을 그대로 나타낸다고 볼 수 없다. 특히 연결된 영역에서는 과분할, 분리된 영역에서는 혼합이 발생할 수 있으므로 topology-aware 외부 검증이 필수적이다.</w:t>
            </w:r>
          </w:p>
        </w:tc>
      </w:tr>
    </w:tbl>
    <w:p>
      <w:pPr>
        <w:pStyle w:val="Heading1"/>
        <w:spacing w:after="160" w:before="380"/>
      </w:pPr>
      <w:r>
        <w:rPr>
          <w:rFonts w:ascii="Malgun Gothic" w:cs="Malgun Gothic" w:eastAsia="Malgun Gothic" w:hAnsi="Malgun Gothic"/>
          <w:b/>
          <w:bCs/>
          <w:color w:val="17365D"/>
          <w:sz w:val="29"/>
          <w:szCs w:val="29"/>
        </w:rPr>
        <w:t xml:space="preserve">8. 근거 파일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Idea 1 nested validation: idea1/idea1_ratio2_sweep.py, idea1/idea1_nested_prim_factory.py, idea1/idea1_nested_prim_naval.py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Idea 2 Naval 비교: idea2/idea2_naval_compare.py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Idea 4 RSM: idea4/synth_validation_sixth.py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RSM 연결성 검사: idea4/validate_rsm_ridge_connectivity.py, idea4/rsm_ridge_connectivity_results.csv</w:t>
      </w:r>
    </w:p>
    <w:p>
      <w:pPr>
        <w:pStyle w:val="ListParagraph"/>
        <w:numPr>
          <w:ilvl w:val="0"/>
          <w:numId w:val="2"/>
        </w:numPr>
        <w:spacing w:after="90" w:line="310"/>
      </w:pPr>
      <w:r>
        <w:rPr>
          <w:rFonts w:ascii="Malgun Gothic" w:cs="Malgun Gothic" w:eastAsia="Malgun Gothic" w:hAnsi="Malgun Gothic"/>
          <w:color w:val="222222"/>
          <w:sz w:val="21"/>
          <w:szCs w:val="21"/>
        </w:rPr>
        <w:t xml:space="preserve">통제 합성실험: idea4/synth_connectivity_validation.py 및 connectivity_validation_*.csv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222222"/>
      </w:rPr>
      <w:t xml:space="preserve">Stochastic PRIM 추가 연구 핵심 결과  |  </w:t>
    </w:r>
    <w:r>
      <w:rPr>
        <w:rFonts w:ascii="Malgun Gothic" w:cs="Malgun Gothic" w:eastAsia="Malgun Gothic" w:hAnsi="Malgun Gothic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–"/>
      <w:lvlJc w:val="left"/>
      <w:pPr>
        <w:ind w:left="7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Stochastic PRIM 추가 연구 핵심 결과</dc:title>
  <dc:creator>Stochastic PRIM research project</dc:creator>
  <dc:description>Idea 1–4 기존 보고서 이후의 방법론 보완과 외부 검증 결과</dc:description>
  <cp:lastModifiedBy>Un-named</cp:lastModifiedBy>
  <cp:revision>1</cp:revision>
  <dcterms:created xsi:type="dcterms:W3CDTF">2026-08-27T04:56:49.629Z</dcterms:created>
  <dcterms:modified xsi:type="dcterms:W3CDTF">2026-08-27T04:56:49.630Z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