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In‑Silico Drug Discovery Platform</w:t>
        <w:br/>
        <w:t>Client‑Ready Technical Documentation</w:t>
      </w:r>
    </w:p>
    <w:p>
      <w:pPr>
        <w:pStyle w:val="Heading1"/>
        <w:jc w:val="left"/>
      </w:pPr>
      <w:r>
        <w:t>Executive Summary</w:t>
      </w:r>
    </w:p>
    <w:p>
      <w:r>
        <w:rPr>
          <w:sz w:val="22"/>
        </w:rPr>
        <w:br/>
        <w:t>This document presents a complete, client‑ready description of an AI‑powered, fully in‑silico drug discovery pipeline designed to identify and prioritize small‑molecule candidates for neglected and infectious diseases relevant to India, with Dengue virus as the primary demonstrated use case. The work represents a proof of technical feasibility and scientific rigor, showing how publicly available biomedical data and open‑source computational tools can be assembled into a reliable early‑stage discovery workflow.</w:t>
        <w:br/>
        <w:br/>
        <w:t>The platform integrates curated chemical and bioactivity data from ChEMBL, chemically accurate molecular representations generated using RDKit, and a carefully configured Random Forest QSAR model to perform large‑scale ligand‑based virtual screening. Predicted high‑potency compounds are further refined using structure‑based molecular docking with AutoDock Vina and prioritized through rule‑based drug‑likeness and ADMET heuristics.</w:t>
        <w:br/>
        <w:br/>
        <w:t>All stages of the workflow are reproducible, modular, and implemented entirely in Python, making the system suitable for future extension, funding evaluation, and integration with experimental research when required.</w:t>
        <w:br/>
      </w:r>
    </w:p>
    <w:p>
      <w:pPr>
        <w:pStyle w:val="Heading1"/>
        <w:jc w:val="left"/>
      </w:pPr>
      <w:r>
        <w:t>Project Objectives and Scientific Positioning</w:t>
      </w:r>
    </w:p>
    <w:p>
      <w:r>
        <w:rPr>
          <w:sz w:val="22"/>
        </w:rPr>
        <w:br/>
        <w:t>The primary objective of this project is to demonstrate that an end‑to‑end computational drug discovery workflow can be built using established, industry‑accepted methodologies while maintaining transparency, reproducibility, and chemical validity. The project is explicitly positioned as an in‑silico proof‑of‑concept and does not involve laboratory experimentation or clinical inference.</w:t>
        <w:br/>
        <w:br/>
        <w:t>A deliberate design decision was made to prioritize robustness, interpretability, and reproducibility over unnecessary methodological complexity. By employing a Random Forest regression model trained on high‑quality molecular fingerprints and carefully curated bioactivity data, the pipeline achieves reliable predictive performance while remaining accessible to scientific review and audit.</w:t>
        <w:br/>
        <w:br/>
        <w:t>This positioning makes the work particularly suitable for early‑stage research programs, funding proposals, and feasibility demonstrations where methodological soundness and clarity are critical.</w:t>
        <w:br/>
      </w:r>
    </w:p>
    <w:p>
      <w:pPr>
        <w:pStyle w:val="Heading1"/>
        <w:jc w:val="left"/>
      </w:pPr>
      <w:r>
        <w:t>Computational Environment and Dependency Stack</w:t>
      </w:r>
    </w:p>
    <w:p>
      <w:r>
        <w:rPr>
          <w:sz w:val="22"/>
        </w:rPr>
        <w:br/>
        <w:t>The pipeline is implemented in a controlled Python scientific computing environment to ensure portability across operating systems and execution platforms. Dependencies are explicitly defined and separated between pip‑installed and conda‑installed packages to ensure chemical correctness and numerical stability.</w:t>
        <w:br/>
        <w:br/>
        <w:t>The core Python stack includes NumPy, Pandas, scikit‑learn, SciPy, tqdm, requests, chembl‑webresource‑client, XGBoost, SHAP, Matplotlib, and Seaborn. These libraries support data processing, machine learning, visualization, and interpretability.</w:t>
        <w:br/>
        <w:br/>
        <w:t>Cheminformatics functionality is provided by RDKit and OpenBabel, installed via conda‑forge to ensure reliable handling of molecular structures. Molecular docking is performed using AutoDock Vina, while AutoDockTools (ADT 1.5.7) is used exclusively for receptor preparation and grid box calculation.</w:t>
        <w:br/>
        <w:br/>
        <w:t>This environment reflects commonly used tooling in computational chemistry and cheminformatics research.</w:t>
        <w:br/>
      </w:r>
    </w:p>
    <w:p>
      <w:pPr>
        <w:pStyle w:val="Heading1"/>
        <w:jc w:val="left"/>
      </w:pPr>
      <w:r>
        <w:t>Data Sources and Provenance</w:t>
      </w:r>
    </w:p>
    <w:p>
      <w:r>
        <w:rPr>
          <w:sz w:val="22"/>
        </w:rPr>
        <w:br/>
        <w:t>All chemical and biological data used in this project originate from trusted public repositories. Chemical structures, identifiers, and bioactivity measurements are sourced from ChEMBL version 36, a widely used and well‑curated database of bioactive molecules and targets.</w:t>
        <w:br/>
        <w:br/>
        <w:t>Protein structural data used for docking is obtained from the RCSB Protein Data Bank. For the Dengue virus demonstration, the NS3 protease structure (PDB ID: 4M9I) is used due to its biological relevance and availability of structural information.</w:t>
        <w:br/>
        <w:br/>
        <w:t>Throughout the pipeline, original identifiers and metadata are preserved to maintain traceability and data provenance.</w:t>
        <w:br/>
      </w:r>
    </w:p>
    <w:p>
      <w:pPr>
        <w:pStyle w:val="Heading1"/>
        <w:jc w:val="left"/>
      </w:pPr>
      <w:r>
        <w:t>Reproducibility and Deterministic Execution</w:t>
      </w:r>
    </w:p>
    <w:p>
      <w:r>
        <w:rPr>
          <w:sz w:val="22"/>
        </w:rPr>
        <w:br/>
        <w:t>Reproducibility is a foundational requirement of this pipeline. A single global random seed is defined and applied consistently across Python’s random module, NumPy, and scikit‑learn. This ensures that dataset splitting, model training, and screening results are deterministic given the same input data and environment.</w:t>
        <w:br/>
        <w:br/>
        <w:t>Library versions are printed and logged at runtime, and all intermediate outputs are written to disk in structured CSV format. This design allows any stage of the workflow to be rerun, inspected, or audited independently.</w:t>
        <w:br/>
      </w:r>
    </w:p>
    <w:p>
      <w:pPr>
        <w:pStyle w:val="Heading1"/>
        <w:jc w:val="left"/>
      </w:pPr>
      <w:r>
        <w:t>Step 0 – Environment Initialization</w:t>
      </w:r>
    </w:p>
    <w:p>
      <w:r>
        <w:rPr>
          <w:sz w:val="22"/>
        </w:rPr>
        <w:br/>
        <w:t>The pipeline begins with environment initialization, including importing required libraries, defining global configuration parameters, and setting reproducibility controls. This step ensures that all subsequent processing occurs within a controlled and verifiable execution context.</w:t>
        <w:br/>
        <w:br/>
        <w:t>Version information for key libraries such as RDKit, NumPy, and Pandas is recorded to facilitate future replication.</w:t>
        <w:br/>
      </w:r>
    </w:p>
    <w:p>
      <w:pPr>
        <w:pStyle w:val="Heading1"/>
        <w:jc w:val="left"/>
      </w:pPr>
      <w:r>
        <w:t>Step 1 – ChEMBL Data Acquisition and Parsing</w:t>
      </w:r>
    </w:p>
    <w:p>
      <w:r>
        <w:rPr>
          <w:sz w:val="22"/>
        </w:rPr>
        <w:br/>
        <w:t>ChEMBL data files are downloaded programmatically using HTTP streaming to handle large file sizes efficiently. Relevant files include compound representations, fingerprint data, and target mapping tables.</w:t>
        <w:br/>
        <w:br/>
        <w:t>Only essential columns are retained, including ChEMBL compound identifiers and canonical SMILES strings. Fingerprint files are parsed line‑by‑line and merged with compound metadata using ChEMBL identifiers as keys.</w:t>
        <w:br/>
      </w:r>
    </w:p>
    <w:p>
      <w:pPr>
        <w:pStyle w:val="Heading1"/>
        <w:jc w:val="left"/>
      </w:pPr>
      <w:r>
        <w:t>Step 2 – Disease‑Specific Target Mapping</w:t>
      </w:r>
    </w:p>
    <w:p>
      <w:r>
        <w:rPr>
          <w:sz w:val="22"/>
        </w:rPr>
        <w:br/>
        <w:t>Disease‑relevant protein targets are defined manually based on established biological knowledge. For Dengue virus, this includes NS3 protease and related viral proteins.</w:t>
        <w:br/>
        <w:br/>
        <w:t>The ChEMBL web resource client is used to map target names to internal ChEMBL target identifiers, enabling precise querying of bioactivity records associated with each target.</w:t>
        <w:br/>
      </w:r>
    </w:p>
    <w:p>
      <w:pPr>
        <w:pStyle w:val="Heading1"/>
        <w:jc w:val="left"/>
      </w:pPr>
      <w:r>
        <w:t>Step 3 – Bioactivity Retrieval and Filtering</w:t>
      </w:r>
    </w:p>
    <w:p>
      <w:r>
        <w:rPr>
          <w:sz w:val="22"/>
        </w:rPr>
        <w:br/>
        <w:t>Bioactivity data is retrieved from ChEMBL for each mapped target. Only quantitative measurements suitable for regression modeling are retained, including IC50, Ki, Kd, and EC50 values.</w:t>
        <w:br/>
        <w:br/>
        <w:t>Additional filtering ensures data quality by restricting accepted units, excluding non‑positive values, and applying confidence score thresholds. This process yields a high‑confidence activity dataset appropriate for QSAR modeling.</w:t>
        <w:br/>
      </w:r>
    </w:p>
    <w:p>
      <w:pPr>
        <w:pStyle w:val="Heading1"/>
        <w:jc w:val="left"/>
      </w:pPr>
      <w:r>
        <w:t>Step 4 – pChEMBL Transformation</w:t>
      </w:r>
    </w:p>
    <w:p>
      <w:r>
        <w:rPr>
          <w:sz w:val="22"/>
        </w:rPr>
        <w:br/>
        <w:t>All retained bioactivity values are converted to pChEMBL units using logarithmic scaling. This transformation standardizes potency measurements and improves numerical stability during model training.</w:t>
        <w:br/>
        <w:br/>
        <w:t>Where multiple measurements exist for a given compound‑target pair, the median pChEMBL value is used to represent consensus activity.</w:t>
        <w:br/>
      </w:r>
    </w:p>
    <w:p>
      <w:pPr>
        <w:pStyle w:val="Heading1"/>
        <w:jc w:val="left"/>
      </w:pPr>
      <w:r>
        <w:t>Step 5 – Chemical Validation and Scaffold Assignment</w:t>
      </w:r>
    </w:p>
    <w:p>
      <w:r>
        <w:rPr>
          <w:sz w:val="22"/>
        </w:rPr>
        <w:br/>
        <w:t>Canonical SMILES strings are converted into RDKit Mol objects using controlled sanitization procedures. Invalid or chemically inconsistent structures are excluded.</w:t>
        <w:br/>
        <w:br/>
        <w:t>Murcko scaffolds are computed for each valid molecule. These scaffolds capture the core chemical frameworks and are later used for scaffold‑based dataset partitioning.</w:t>
        <w:br/>
      </w:r>
    </w:p>
    <w:p>
      <w:pPr>
        <w:pStyle w:val="Heading1"/>
        <w:jc w:val="left"/>
      </w:pPr>
      <w:r>
        <w:t>Step 6 – Curated Chemical Space Construction</w:t>
      </w:r>
    </w:p>
    <w:p>
      <w:r>
        <w:rPr>
          <w:sz w:val="22"/>
        </w:rPr>
        <w:br/>
        <w:t>Validated molecular structures, fingerprints, scaffolds, and activity labels are merged into a unified curated dataset. Duplicate entries are removed to ensure a clean and non‑redundant chemical space.</w:t>
        <w:br/>
        <w:br/>
        <w:t>This curated dataset forms the foundation for both QSAR modeling and downstream screening.</w:t>
        <w:br/>
      </w:r>
    </w:p>
    <w:p>
      <w:pPr>
        <w:pStyle w:val="Heading1"/>
        <w:jc w:val="left"/>
      </w:pPr>
      <w:r>
        <w:t>Step 7 – Scaffold‑Based Dataset Partitioning</w:t>
      </w:r>
    </w:p>
    <w:p>
      <w:r>
        <w:rPr>
          <w:sz w:val="22"/>
        </w:rPr>
        <w:br/>
        <w:t>To ensure realistic model evaluation, the dataset is divided into training and validation subsets using scaffold‑based splitting. Entire scaffolds are assigned to a single subset, preventing information leakage and promoting genuine generalization.</w:t>
        <w:br/>
      </w:r>
    </w:p>
    <w:p>
      <w:pPr>
        <w:pStyle w:val="Heading1"/>
        <w:jc w:val="left"/>
      </w:pPr>
      <w:r>
        <w:t>Step 8 – Molecular Feature Engineering</w:t>
      </w:r>
    </w:p>
    <w:p>
      <w:r>
        <w:rPr>
          <w:sz w:val="22"/>
        </w:rPr>
        <w:br/>
        <w:t>Each molecule is represented using a Morgan (ECFP) fingerprint with radius 2 and 2048 bits, with chirality information included. These fingerprints encode local chemical environments in a form suitable for machine‑learning models.</w:t>
        <w:br/>
        <w:br/>
        <w:t>Fingerprints are converted into NumPy arrays to form the model input feature matrix.</w:t>
        <w:br/>
      </w:r>
    </w:p>
    <w:p>
      <w:pPr>
        <w:pStyle w:val="Heading1"/>
        <w:jc w:val="left"/>
      </w:pPr>
      <w:r>
        <w:t>Step 9 – Random Forest QSAR Model Training</w:t>
      </w:r>
    </w:p>
    <w:p>
      <w:r>
        <w:rPr>
          <w:sz w:val="22"/>
        </w:rPr>
        <w:br/>
        <w:t>A Random Forest Regressor is trained to predict pChEMBL values from ECFP fingerprints. This model is selected for its robustness, ability to handle high‑dimensional sparse features, and strong empirical performance on bioactivity prediction tasks.</w:t>
        <w:br/>
        <w:br/>
        <w:t>Model hyperparameters are explicitly defined to balance predictive accuracy and generalization.</w:t>
        <w:br/>
      </w:r>
    </w:p>
    <w:p>
      <w:pPr>
        <w:pStyle w:val="Heading1"/>
        <w:jc w:val="left"/>
      </w:pPr>
      <w:r>
        <w:t>Step 10 – QSAR Model Evaluation</w:t>
      </w:r>
    </w:p>
    <w:p>
      <w:r>
        <w:rPr>
          <w:sz w:val="22"/>
        </w:rPr>
        <w:br/>
        <w:t>Model performance is assessed using standard regression metrics, including R², RMSE, and MAE, calculated on scaffold‑partitioned validation data. These metrics provide quantitative evidence of predictive capability on unseen chemical scaffolds.</w:t>
        <w:br/>
      </w:r>
    </w:p>
    <w:p>
      <w:pPr>
        <w:pStyle w:val="Heading1"/>
        <w:jc w:val="left"/>
      </w:pPr>
      <w:r>
        <w:t>Step 11 – Large‑Scale Ligand‑Based Virtual Screening</w:t>
      </w:r>
    </w:p>
    <w:p>
      <w:r>
        <w:rPr>
          <w:sz w:val="22"/>
        </w:rPr>
        <w:br/>
        <w:t>A large screening library is constructed by streaming ChEMBL compounds in manageable chunks. Early physicochemical filters are applied to focus on drug‑like molecules.</w:t>
        <w:br/>
        <w:br/>
        <w:t>ECFP fingerprints are generated for screened compounds, and the trained Random Forest QSAR model is used to predict pChEMBL values. Compounds are ranked by predicted potency.</w:t>
        <w:br/>
      </w:r>
    </w:p>
    <w:p>
      <w:pPr>
        <w:pStyle w:val="Heading1"/>
        <w:jc w:val="left"/>
      </w:pPr>
      <w:r>
        <w:t>Step 12 – Ligand Preparation for Docking</w:t>
      </w:r>
    </w:p>
    <w:p>
      <w:r>
        <w:rPr>
          <w:sz w:val="22"/>
        </w:rPr>
        <w:br/>
        <w:t>Top‑ranked compounds are converted from SMILES to three‑dimensional structures using RDKit. Hydrogen atoms are added, geometries are optimized, and structures are converted to PDBQT format using OpenBabel.</w:t>
        <w:br/>
        <w:br/>
        <w:t>This preparation ensures compatibility with AutoDock Vina.</w:t>
        <w:br/>
      </w:r>
    </w:p>
    <w:p>
      <w:pPr>
        <w:pStyle w:val="Heading1"/>
        <w:jc w:val="left"/>
      </w:pPr>
      <w:r>
        <w:t>Step 13 – Protein Preparation and Grid Box Definition</w:t>
      </w:r>
    </w:p>
    <w:p>
      <w:r>
        <w:rPr>
          <w:sz w:val="22"/>
        </w:rPr>
        <w:br/>
        <w:t>Protein preparation is performed using AutoDockTools (ADT 1.5.7). Polar hydrogens are added, Gasteiger charges are computed, and water molecules are removed. Grid box center coordinates and dimensions are determined based on known binding site information.</w:t>
        <w:br/>
      </w:r>
    </w:p>
    <w:p>
      <w:pPr>
        <w:pStyle w:val="Heading1"/>
        <w:jc w:val="left"/>
      </w:pPr>
      <w:r>
        <w:t>Step 14 – Molecular Docking with AutoDock Vina</w:t>
      </w:r>
    </w:p>
    <w:p>
      <w:r>
        <w:rPr>
          <w:sz w:val="22"/>
        </w:rPr>
        <w:br/>
        <w:t>Prepared ligands are docked into the prepared protein structure using AutoDock Vina. Docking is performed with a defined grid box and controlled exhaustiveness. The best docking score for each ligand is extracted for downstream ranking.</w:t>
        <w:br/>
      </w:r>
    </w:p>
    <w:p>
      <w:pPr>
        <w:pStyle w:val="Heading1"/>
        <w:jc w:val="left"/>
      </w:pPr>
      <w:r>
        <w:t>Step 15 – Integrated QSAR and Docking Ranking</w:t>
      </w:r>
    </w:p>
    <w:p>
      <w:r>
        <w:rPr>
          <w:sz w:val="22"/>
        </w:rPr>
        <w:br/>
        <w:t>QSAR predictions and docking scores are normalized and combined into a composite ranking score, with greater weight assigned to QSAR predictions. This integrated ranking enables confident prioritization of promising candidates.</w:t>
        <w:br/>
      </w:r>
    </w:p>
    <w:p>
      <w:pPr>
        <w:pStyle w:val="Heading1"/>
        <w:jc w:val="left"/>
      </w:pPr>
      <w:r>
        <w:t>Step 16 – Drug‑Likeness and ADMET Prioritization</w:t>
      </w:r>
    </w:p>
    <w:p>
      <w:r>
        <w:rPr>
          <w:sz w:val="22"/>
        </w:rPr>
        <w:br/>
        <w:t>Final candidates are filtered using rule‑based drug‑likeness and ADMET heuristics, including Lipinski and Veber criteria and absorption‑related thresholds. This step refines the shortlist to molecules with favorable physicochemical profiles.</w:t>
        <w:br/>
      </w:r>
    </w:p>
    <w:p>
      <w:pPr>
        <w:pStyle w:val="Heading1"/>
        <w:jc w:val="left"/>
      </w:pPr>
      <w:r>
        <w:t>Final Deliverables and Value Proposition</w:t>
      </w:r>
    </w:p>
    <w:p>
      <w:r>
        <w:rPr>
          <w:sz w:val="22"/>
        </w:rPr>
        <w:br/>
        <w:t>The final deliverables include curated datasets, trained QSAR models, virtual screening predictions, docking results, and integrated ranked candidate lists. Collectively, these outputs demonstrate a complete, reproducible, and technically sound AI‑driven drug discovery workflow suitable for funding evaluation and future extension.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