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59B2" w14:textId="35DA7DA8" w:rsidR="0000165A" w:rsidRDefault="00000000">
      <w:pPr>
        <w:pStyle w:val="Title"/>
        <w:jc w:val="center"/>
      </w:pPr>
      <w:r>
        <w:t>AI‑Powered In‑Silico Drug Discovery Pipeline</w:t>
      </w:r>
    </w:p>
    <w:p w14:paraId="70A0D655" w14:textId="77777777" w:rsidR="0000165A" w:rsidRDefault="00000000">
      <w:pPr>
        <w:pStyle w:val="Heading1"/>
      </w:pPr>
      <w:r>
        <w:t>1. Purpose of This Document</w:t>
      </w:r>
    </w:p>
    <w:p w14:paraId="654B5E75" w14:textId="77777777" w:rsidR="0000165A" w:rsidRDefault="00000000">
      <w:r>
        <w:br/>
        <w:t xml:space="preserve">This document complements the client-facing technical documentation by providing full implementation-level details. </w:t>
      </w:r>
      <w:r>
        <w:br/>
        <w:t>It is intended for developers, reviewers, or future collaborators who need to reproduce, audit, extend, or deploy the pipeline exactly as implemented.</w:t>
      </w:r>
      <w:r>
        <w:br/>
      </w:r>
      <w:r>
        <w:br/>
        <w:t>This guide explicitly lists software requirements, package versions, installation commands, external tools, data sources, directory structure, and execution order.</w:t>
      </w:r>
      <w:r>
        <w:br/>
      </w:r>
    </w:p>
    <w:p w14:paraId="177397C8" w14:textId="77777777" w:rsidR="0000165A" w:rsidRDefault="00000000">
      <w:pPr>
        <w:pStyle w:val="Heading1"/>
      </w:pPr>
      <w:r>
        <w:t>2. Operating System and Hardware Assumptions</w:t>
      </w:r>
    </w:p>
    <w:p w14:paraId="48928F00" w14:textId="77777777" w:rsidR="0000165A" w:rsidRDefault="00000000">
      <w:r>
        <w:br/>
        <w:t>The pipeline has been validated on the following environments:</w:t>
      </w:r>
      <w:r>
        <w:br/>
        <w:t>- Windows 10 / 11 (local execution)</w:t>
      </w:r>
      <w:r>
        <w:br/>
        <w:t>- Linux-based cloud environments (e.g., Kaggle)</w:t>
      </w:r>
      <w:r>
        <w:br/>
      </w:r>
      <w:r>
        <w:br/>
        <w:t>No GPU is required. The pipeline is CPU-bound and memory-efficient through chunked data processing.</w:t>
      </w:r>
      <w:r>
        <w:br/>
        <w:t>Recommended system specifications:</w:t>
      </w:r>
      <w:r>
        <w:br/>
        <w:t>- RAM: ≥ 16 GB</w:t>
      </w:r>
      <w:r>
        <w:br/>
        <w:t>- Disk: ≥ 50 GB free (for ChEMBL data)</w:t>
      </w:r>
      <w:r>
        <w:br/>
        <w:t>- CPU: 4+ cores recommended</w:t>
      </w:r>
      <w:r>
        <w:br/>
      </w:r>
    </w:p>
    <w:p w14:paraId="3984C772" w14:textId="77777777" w:rsidR="0000165A" w:rsidRDefault="00000000">
      <w:pPr>
        <w:pStyle w:val="Heading1"/>
      </w:pPr>
      <w:r>
        <w:t>3. Python Environment</w:t>
      </w:r>
    </w:p>
    <w:p w14:paraId="35E42F17" w14:textId="77777777" w:rsidR="0000165A" w:rsidRDefault="00000000">
      <w:r>
        <w:br/>
        <w:t>Python version:</w:t>
      </w:r>
      <w:r>
        <w:br/>
        <w:t>- Python 3.9 or newer</w:t>
      </w:r>
      <w:r>
        <w:br/>
      </w:r>
      <w:r>
        <w:br/>
        <w:t>It is strongly recommended to use a dedicated conda environment to avoid dependency conflicts.</w:t>
      </w:r>
      <w:r>
        <w:br/>
      </w:r>
    </w:p>
    <w:p w14:paraId="0DEF548F" w14:textId="77777777" w:rsidR="0000165A" w:rsidRDefault="00000000">
      <w:pPr>
        <w:pStyle w:val="Heading1"/>
      </w:pPr>
      <w:r>
        <w:lastRenderedPageBreak/>
        <w:t>4. Conda Environment Setup</w:t>
      </w:r>
    </w:p>
    <w:p w14:paraId="318BA534" w14:textId="77777777" w:rsidR="0000165A" w:rsidRDefault="00000000">
      <w:r>
        <w:br/>
        <w:t>Create and activate a new conda environment:</w:t>
      </w:r>
      <w:r>
        <w:br/>
      </w:r>
      <w:r>
        <w:br/>
        <w:t>conda create -n drugdiscovery python=3.9</w:t>
      </w:r>
      <w:r>
        <w:br/>
        <w:t>conda activate drugdiscovery</w:t>
      </w:r>
      <w:r>
        <w:br/>
      </w:r>
      <w:r>
        <w:br/>
        <w:t>Install chemistry-critical libraries from conda-forge:</w:t>
      </w:r>
      <w:r>
        <w:br/>
      </w:r>
      <w:r>
        <w:br/>
        <w:t>conda install -c conda-forge rdkit openbabel</w:t>
      </w:r>
      <w:r>
        <w:br/>
      </w:r>
    </w:p>
    <w:p w14:paraId="554D78A8" w14:textId="77777777" w:rsidR="0000165A" w:rsidRDefault="00000000">
      <w:pPr>
        <w:pStyle w:val="Heading1"/>
      </w:pPr>
      <w:r>
        <w:t>5. Pip Package Installation</w:t>
      </w:r>
    </w:p>
    <w:p w14:paraId="181AAAC9" w14:textId="77777777" w:rsidR="0000165A" w:rsidRDefault="00000000">
      <w:r>
        <w:br/>
        <w:t>After activating the conda environment, install remaining dependencies via pip:</w:t>
      </w:r>
      <w:r>
        <w:br/>
      </w:r>
      <w:r>
        <w:br/>
        <w:t>pip install numpy pandas scikit-learn scipy tqdm requests chembl-webresource-client</w:t>
      </w:r>
      <w:r>
        <w:br/>
        <w:t>pip install xgboost shap matplotlib seaborn</w:t>
      </w:r>
      <w:r>
        <w:br/>
      </w:r>
      <w:r>
        <w:br/>
        <w:t>These libraries support numerical computation, machine learning, cheminformatics workflows, and visualization.</w:t>
      </w:r>
      <w:r>
        <w:br/>
      </w:r>
    </w:p>
    <w:p w14:paraId="5216AE1F" w14:textId="77777777" w:rsidR="0000165A" w:rsidRDefault="00000000">
      <w:pPr>
        <w:pStyle w:val="Heading1"/>
      </w:pPr>
      <w:r>
        <w:t>6. External Tools and Executables</w:t>
      </w:r>
    </w:p>
    <w:p w14:paraId="4B22B194" w14:textId="16077B11" w:rsidR="0000165A" w:rsidRDefault="00000000">
      <w:r>
        <w:br/>
        <w:t>The following external tools must be installed separately and added to the system PATH:</w:t>
      </w:r>
      <w:r>
        <w:br/>
      </w:r>
      <w:r>
        <w:br/>
        <w:t>1. AutoDock Vina</w:t>
      </w:r>
      <w:r>
        <w:br/>
        <w:t xml:space="preserve">   Purpose: Molecular docking</w:t>
      </w:r>
      <w:r>
        <w:br/>
        <w:t xml:space="preserve">   Download: https://github.com/ccsb-scripps/AutoDock-Vina/releases</w:t>
      </w:r>
      <w:r>
        <w:br/>
      </w:r>
      <w:r>
        <w:br/>
        <w:t>2. AutoDockTools (ADT 1.5.7)</w:t>
      </w:r>
      <w:r>
        <w:br/>
        <w:t xml:space="preserve">   Purpose: Protein preparation and grid box calculation ONLY</w:t>
      </w:r>
      <w:r>
        <w:br/>
        <w:t xml:space="preserve">   Download: https://ccsb.scripps.edu/downloads/</w:t>
      </w:r>
      <w:r>
        <w:br/>
      </w:r>
      <w:r>
        <w:br/>
        <w:t>OpenBabel executable (obabel or babel) must be available in PATH for ligand format</w:t>
      </w:r>
      <w:r w:rsidR="00AB1C6F">
        <w:t xml:space="preserve"> </w:t>
      </w:r>
      <w:proofErr w:type="spellStart"/>
      <w:r>
        <w:t>onversion</w:t>
      </w:r>
      <w:proofErr w:type="spellEnd"/>
      <w:r>
        <w:t>.</w:t>
      </w:r>
      <w:r>
        <w:br/>
      </w:r>
    </w:p>
    <w:p w14:paraId="0D035E33" w14:textId="77777777" w:rsidR="0000165A" w:rsidRDefault="00000000">
      <w:pPr>
        <w:pStyle w:val="Heading1"/>
      </w:pPr>
      <w:r>
        <w:lastRenderedPageBreak/>
        <w:t>7. Public Data Sources</w:t>
      </w:r>
    </w:p>
    <w:p w14:paraId="55417F6D" w14:textId="77777777" w:rsidR="0000165A" w:rsidRDefault="00000000">
      <w:r>
        <w:br/>
        <w:t>All data used in the pipeline is publicly available.</w:t>
      </w:r>
      <w:r>
        <w:br/>
      </w:r>
      <w:r>
        <w:br/>
        <w:t>ChEMBL v36:</w:t>
      </w:r>
      <w:r>
        <w:br/>
        <w:t>- Compound representations:</w:t>
      </w:r>
      <w:r>
        <w:br/>
        <w:t xml:space="preserve">  https://ftp.ebi.ac.uk/pub/databases/chembl/ChEMBLdb/latest/chembl_36_chemreps.txt.gz</w:t>
      </w:r>
      <w:r>
        <w:br/>
        <w:t>- Fingerprints:</w:t>
      </w:r>
      <w:r>
        <w:br/>
        <w:t xml:space="preserve">  https://ftp.ebi.ac.uk/pub/databases/chembl/ChEMBLdb/latest/chembl_36.fps.gz</w:t>
      </w:r>
      <w:r>
        <w:br/>
        <w:t>- Target mapping:</w:t>
      </w:r>
      <w:r>
        <w:br/>
        <w:t xml:space="preserve">  https://ftp.ebi.ac.uk/pub/databases/chembl/ChEMBLdb/latest/chembl_uniprot_mapping.txt</w:t>
      </w:r>
      <w:r>
        <w:br/>
      </w:r>
      <w:r>
        <w:br/>
        <w:t>Protein structures:</w:t>
      </w:r>
      <w:r>
        <w:br/>
        <w:t>- RCSB Protein Data Bank</w:t>
      </w:r>
      <w:r>
        <w:br/>
        <w:t xml:space="preserve">  https://www.rcsb.org</w:t>
      </w:r>
      <w:r>
        <w:br/>
        <w:t>Example used:</w:t>
      </w:r>
      <w:r>
        <w:br/>
        <w:t>- Dengue NS3 protease: PDB ID 4M9I</w:t>
      </w:r>
      <w:r>
        <w:br/>
      </w:r>
    </w:p>
    <w:p w14:paraId="50626D79" w14:textId="4D44A579" w:rsidR="0000165A" w:rsidRDefault="00AB1C6F">
      <w:pPr>
        <w:pStyle w:val="Heading1"/>
      </w:pPr>
      <w:r>
        <w:t>8</w:t>
      </w:r>
      <w:r w:rsidR="00000000">
        <w:t>. Step-by-Step Execution Flow</w:t>
      </w:r>
    </w:p>
    <w:p w14:paraId="6B0E9086" w14:textId="77777777" w:rsidR="0000165A" w:rsidRDefault="00000000">
      <w:r>
        <w:br/>
        <w:t>1. Initialize environment and set global random seed</w:t>
      </w:r>
      <w:r>
        <w:br/>
        <w:t>2. Download ChEMBL data files</w:t>
      </w:r>
      <w:r>
        <w:br/>
        <w:t>3. Parse and clean compound representations</w:t>
      </w:r>
      <w:r>
        <w:br/>
        <w:t>4. Map disease-specific targets using ChEMBL API</w:t>
      </w:r>
      <w:r>
        <w:br/>
        <w:t>5. Retrieve and filter bioactivity data</w:t>
      </w:r>
      <w:r>
        <w:br/>
        <w:t>6. Convert activities to pChEMBL</w:t>
      </w:r>
      <w:r>
        <w:br/>
        <w:t>7. Validate chemical structures using RDKit</w:t>
      </w:r>
      <w:r>
        <w:br/>
        <w:t>8. Generate Murcko scaffolds</w:t>
      </w:r>
      <w:r>
        <w:br/>
        <w:t>9. Merge curated chemical space</w:t>
      </w:r>
      <w:r>
        <w:br/>
        <w:t>10. Perform scaffold-based dataset splitting</w:t>
      </w:r>
      <w:r>
        <w:br/>
        <w:t>11. Generate ECFP fingerprints</w:t>
      </w:r>
      <w:r>
        <w:br/>
        <w:t>12. Train Random Forest QSAR model</w:t>
      </w:r>
      <w:r>
        <w:br/>
        <w:t>13. Evaluate QSAR performance</w:t>
      </w:r>
      <w:r>
        <w:br/>
        <w:t>14. Stream large compound library for virtual screening</w:t>
      </w:r>
      <w:r>
        <w:br/>
        <w:t>15. Predict pChEMBL for screening compounds</w:t>
      </w:r>
      <w:r>
        <w:br/>
        <w:t>16. Rank compounds by predicted potency</w:t>
      </w:r>
      <w:r>
        <w:br/>
        <w:t>17. Prepare ligands for docking</w:t>
      </w:r>
      <w:r>
        <w:br/>
      </w:r>
      <w:r>
        <w:lastRenderedPageBreak/>
        <w:t>18. Prepare protein and grid box using ADT</w:t>
      </w:r>
      <w:r>
        <w:br/>
        <w:t>19. Run AutoDock Vina docking</w:t>
      </w:r>
      <w:r>
        <w:br/>
        <w:t>20. Combine QSAR and docking scores</w:t>
      </w:r>
      <w:r>
        <w:br/>
        <w:t>21. Apply drug-likeness and ADMET filters</w:t>
      </w:r>
      <w:r>
        <w:br/>
        <w:t>22. Export final ranked candidate lists</w:t>
      </w:r>
      <w:r>
        <w:br/>
      </w:r>
    </w:p>
    <w:p w14:paraId="28CB4F28" w14:textId="02A45CF1" w:rsidR="0000165A" w:rsidRDefault="00AB1C6F">
      <w:pPr>
        <w:pStyle w:val="Heading1"/>
      </w:pPr>
      <w:r>
        <w:t>9</w:t>
      </w:r>
      <w:r w:rsidR="00000000">
        <w:t>. Protein Preparation and Grid Box Calculation (ADT)</w:t>
      </w:r>
    </w:p>
    <w:p w14:paraId="1AA8695B" w14:textId="77777777" w:rsidR="0000165A" w:rsidRDefault="00000000">
      <w:r>
        <w:br/>
        <w:t>AutoDockTools (ADT) is used strictly for receptor preparation and grid definition.</w:t>
      </w:r>
      <w:r>
        <w:br/>
      </w:r>
      <w:r>
        <w:br/>
        <w:t>Procedure:</w:t>
      </w:r>
      <w:r>
        <w:br/>
        <w:t>1. Open AutoDockTools (adt)</w:t>
      </w:r>
      <w:r>
        <w:br/>
        <w:t>2. File → Read Molecule → protein.pdb</w:t>
      </w:r>
      <w:r>
        <w:br/>
        <w:t>3. Edit → Hydrogens → Add → Polar Only</w:t>
      </w:r>
      <w:r>
        <w:br/>
        <w:t>4. Edit → Charges → Compute Gasteiger</w:t>
      </w:r>
      <w:r>
        <w:br/>
        <w:t>5. Edit → Delete Water</w:t>
      </w:r>
      <w:r>
        <w:br/>
        <w:t>6. File → Save → Write PDBQT (protein.pdbqt)</w:t>
      </w:r>
      <w:r>
        <w:br/>
      </w:r>
      <w:r>
        <w:br/>
        <w:t>Grid Box:</w:t>
      </w:r>
      <w:r>
        <w:br/>
        <w:t>- Grid → Grid Box</w:t>
      </w:r>
      <w:r>
        <w:br/>
        <w:t>- Set center manually or center on co-crystal ligand</w:t>
      </w:r>
      <w:r>
        <w:br/>
        <w:t>- Typical box sizes: 22–30 Å per dimension</w:t>
      </w:r>
      <w:r>
        <w:br/>
        <w:t>- Record center_x, center_y, center_z, size_x, size_y, size_z</w:t>
      </w:r>
      <w:r>
        <w:br/>
      </w:r>
    </w:p>
    <w:p w14:paraId="49DE87E6" w14:textId="47A0200C" w:rsidR="0000165A" w:rsidRDefault="00000000">
      <w:pPr>
        <w:pStyle w:val="Heading1"/>
      </w:pPr>
      <w:r>
        <w:t>1</w:t>
      </w:r>
      <w:r w:rsidR="00AB1C6F">
        <w:t>0</w:t>
      </w:r>
      <w:r>
        <w:t>. Docking Configuration (AutoDock Vina)</w:t>
      </w:r>
    </w:p>
    <w:p w14:paraId="79105319" w14:textId="77777777" w:rsidR="0000165A" w:rsidRDefault="00000000">
      <w:r>
        <w:br/>
        <w:t>Docking parameters used:</w:t>
      </w:r>
      <w:r>
        <w:br/>
      </w:r>
      <w:r>
        <w:br/>
        <w:t>- Exhaustiveness: 8</w:t>
      </w:r>
      <w:r>
        <w:br/>
        <w:t>- Number of modes: 1</w:t>
      </w:r>
      <w:r>
        <w:br/>
        <w:t>- Receptor: protein.pdbqt</w:t>
      </w:r>
      <w:r>
        <w:br/>
        <w:t>- Ligands: prepared ligand PDBQT files</w:t>
      </w:r>
      <w:r>
        <w:br/>
        <w:t>- Grid box: parameters obtained from ADT</w:t>
      </w:r>
      <w:r>
        <w:br/>
      </w:r>
      <w:r>
        <w:br/>
        <w:t>Docking is executed via command-line calls to Vina, and binding affinity scores are parsed from standard output.</w:t>
      </w:r>
      <w:r>
        <w:br/>
      </w:r>
    </w:p>
    <w:p w14:paraId="0250F067" w14:textId="71A015F8" w:rsidR="0000165A" w:rsidRDefault="00000000">
      <w:pPr>
        <w:pStyle w:val="Heading1"/>
      </w:pPr>
      <w:r>
        <w:lastRenderedPageBreak/>
        <w:t>1</w:t>
      </w:r>
      <w:r w:rsidR="00AB1C6F">
        <w:t>1</w:t>
      </w:r>
      <w:r>
        <w:t>. Outputs and Artifacts</w:t>
      </w:r>
    </w:p>
    <w:p w14:paraId="76235EE1" w14:textId="77777777" w:rsidR="0000165A" w:rsidRDefault="00000000">
      <w:r>
        <w:br/>
        <w:t>Key outputs include:</w:t>
      </w:r>
      <w:r>
        <w:br/>
        <w:t>- Curated disease-specific datasets (CSV)</w:t>
      </w:r>
      <w:r>
        <w:br/>
        <w:t>- Trained QSAR model objects</w:t>
      </w:r>
      <w:r>
        <w:br/>
        <w:t>- Virtual screening prediction tables</w:t>
      </w:r>
      <w:r>
        <w:br/>
        <w:t>- Docking score tables</w:t>
      </w:r>
      <w:r>
        <w:br/>
        <w:t>- Combined ranking files</w:t>
      </w:r>
      <w:r>
        <w:br/>
        <w:t>- ADMET-filtered final candidate lists</w:t>
      </w:r>
      <w:r>
        <w:br/>
      </w:r>
      <w:r>
        <w:br/>
        <w:t>All outputs are stored as CSV files for transparency and reuse.</w:t>
      </w:r>
      <w:r>
        <w:br/>
      </w:r>
    </w:p>
    <w:p w14:paraId="45FBD82C" w14:textId="00BBE8FB" w:rsidR="0000165A" w:rsidRDefault="00000000">
      <w:pPr>
        <w:pStyle w:val="Heading1"/>
      </w:pPr>
      <w:r>
        <w:t>1</w:t>
      </w:r>
      <w:r w:rsidR="00AB1C6F">
        <w:t>2</w:t>
      </w:r>
      <w:r>
        <w:t>. Reproducibility Checklist</w:t>
      </w:r>
    </w:p>
    <w:p w14:paraId="69A0F942" w14:textId="77777777" w:rsidR="0000165A" w:rsidRDefault="00000000">
      <w:r>
        <w:br/>
        <w:t>To reproduce results:</w:t>
      </w:r>
      <w:r>
        <w:br/>
        <w:t>- Use identical Python and library versions</w:t>
      </w:r>
      <w:r>
        <w:br/>
        <w:t>- Use the same random seed</w:t>
      </w:r>
      <w:r>
        <w:br/>
        <w:t>- Use the same ChEMBL release</w:t>
      </w:r>
      <w:r>
        <w:br/>
        <w:t>- Use the same protein structure and grid box parameters</w:t>
      </w:r>
      <w:r>
        <w:br/>
        <w:t>- Execute steps in the documented order</w:t>
      </w:r>
      <w:r>
        <w:br/>
      </w:r>
      <w:r>
        <w:br/>
        <w:t>Following this checklist ensures deterministic replication.</w:t>
      </w:r>
      <w:r>
        <w:br/>
      </w:r>
    </w:p>
    <w:p w14:paraId="5F873AAE" w14:textId="587D8FD2" w:rsidR="0000165A" w:rsidRDefault="00000000">
      <w:pPr>
        <w:pStyle w:val="Heading1"/>
      </w:pPr>
      <w:r>
        <w:t>1</w:t>
      </w:r>
      <w:r w:rsidR="00AB1C6F">
        <w:t>3</w:t>
      </w:r>
      <w:r>
        <w:t>. Intended Audience and Usage</w:t>
      </w:r>
    </w:p>
    <w:p w14:paraId="61E32004" w14:textId="64033FE2" w:rsidR="0000165A" w:rsidRDefault="00000000">
      <w:r>
        <w:br/>
        <w:t>This implementation guide is intended for:</w:t>
      </w:r>
      <w:r>
        <w:br/>
        <w:t>- Technical reviewers</w:t>
      </w:r>
      <w:r>
        <w:br/>
        <w:t>- Developers extending the pipeline</w:t>
      </w:r>
      <w:r>
        <w:br/>
        <w:t>- Research collaborators</w:t>
      </w:r>
      <w:r>
        <w:br/>
        <w:t>- Funding agencies requesting reproducibility details</w:t>
      </w:r>
      <w:r>
        <w:br/>
      </w:r>
      <w:r>
        <w:br/>
      </w:r>
      <w:r>
        <w:br/>
      </w:r>
    </w:p>
    <w:sectPr w:rsidR="000016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548564">
    <w:abstractNumId w:val="8"/>
  </w:num>
  <w:num w:numId="2" w16cid:durableId="1105735348">
    <w:abstractNumId w:val="6"/>
  </w:num>
  <w:num w:numId="3" w16cid:durableId="1553688168">
    <w:abstractNumId w:val="5"/>
  </w:num>
  <w:num w:numId="4" w16cid:durableId="62140596">
    <w:abstractNumId w:val="4"/>
  </w:num>
  <w:num w:numId="5" w16cid:durableId="1708217999">
    <w:abstractNumId w:val="7"/>
  </w:num>
  <w:num w:numId="6" w16cid:durableId="1576551836">
    <w:abstractNumId w:val="3"/>
  </w:num>
  <w:num w:numId="7" w16cid:durableId="1423642315">
    <w:abstractNumId w:val="2"/>
  </w:num>
  <w:num w:numId="8" w16cid:durableId="794256069">
    <w:abstractNumId w:val="1"/>
  </w:num>
  <w:num w:numId="9" w16cid:durableId="729841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5A"/>
    <w:rsid w:val="00034616"/>
    <w:rsid w:val="0006063C"/>
    <w:rsid w:val="0015074B"/>
    <w:rsid w:val="0029639D"/>
    <w:rsid w:val="00326F90"/>
    <w:rsid w:val="00526933"/>
    <w:rsid w:val="00AA1D8D"/>
    <w:rsid w:val="00AB1C6F"/>
    <w:rsid w:val="00B47730"/>
    <w:rsid w:val="00CB0664"/>
    <w:rsid w:val="00E93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6EDAB"/>
  <w14:defaultImageDpi w14:val="300"/>
  <w15:docId w15:val="{211C3CDC-A8F2-4593-8EF0-C14783935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788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Singh</cp:lastModifiedBy>
  <cp:revision>3</cp:revision>
  <dcterms:created xsi:type="dcterms:W3CDTF">2013-12-23T23:15:00Z</dcterms:created>
  <dcterms:modified xsi:type="dcterms:W3CDTF">2026-01-21T14:46:00Z</dcterms:modified>
  <cp:category/>
</cp:coreProperties>
</file>