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宋体" w:cs="Times New Roman"/>
          <w:b w:val="0"/>
          <w:color w:val="595959"/>
          <w:sz w:val="22"/>
        </w:rPr>
        <w:t>图书借阅归还登记系统（LMS）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黑体" w:cs="Times New Roman"/>
          <w:b/>
          <w:color w:val="1F4E79"/>
          <w:sz w:val="52"/>
        </w:rPr>
        <w:t>影响分析报告</w:t>
      </w:r>
    </w:p>
    <w:p>
      <w:pPr>
        <w:spacing w:before="0" w:after="0" w:line="288" w:lineRule="auto"/>
        <w:jc w:val="center"/>
      </w:pPr>
      <w:r>
        <w:rPr>
          <w:rFonts w:ascii="Times New Roman" w:hAnsi="Times New Roman" w:eastAsia="宋体" w:cs="Times New Roman"/>
          <w:b w:val="0"/>
          <w:sz w:val="22"/>
        </w:rPr>
        <w:t>CR-001  借阅资格校验增加超期宽限期</w:t>
      </w:r>
    </w:p>
    <w:p>
      <w:pPr>
        <w:spacing w:before="80" w:after="240"/>
        <w:pBdr>
          <w:bottom w:val="single" w:sz="8" w:space="1" w:color="1F4E79"/>
        </w:pBdr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color w:val="404040"/>
          <w:sz w:val="21"/>
        </w:rPr>
        <w:t>报告编号 LMS-IA-2026-11-10    分析日期 2026 年 11 月 10 日    分析人 郭顺杰、韦丽珍</w:t>
      </w:r>
    </w:p>
    <w:p>
      <w:pPr>
        <w:spacing w:before="0" w:after="0" w:line="360" w:lineRule="auto"/>
        <w:ind w:firstLine="480"/>
        <w:jc w:val="both"/>
      </w:pP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1  基本信息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1-1  影响分析基本信息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74"/>
        <w:gridCol w:w="3061"/>
        <w:gridCol w:w="1474"/>
        <w:gridCol w:w="2608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type="dxa" w:w="30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type="dxa" w:w="260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关联变更编号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CR-001</w:t>
            </w:r>
          </w:p>
        </w:tc>
        <w:tc>
          <w:tcPr>
            <w:tcW w:type="dxa" w:w="147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关联申请单</w:t>
            </w:r>
          </w:p>
        </w:tc>
        <w:tc>
          <w:tcPr>
            <w:tcW w:type="dxa" w:w="260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LMS-CRQ-2026-11-09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分析日期</w:t>
            </w:r>
          </w:p>
        </w:tc>
        <w:tc>
          <w:tcPr>
            <w:tcW w:type="dxa" w:w="306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2026-11-10</w:t>
            </w:r>
          </w:p>
        </w:tc>
        <w:tc>
          <w:tcPr>
            <w:tcW w:type="dxa" w:w="147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分析人</w:t>
            </w:r>
          </w:p>
        </w:tc>
        <w:tc>
          <w:tcPr>
            <w:tcW w:type="dxa" w:w="260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郭顺杰、韦丽珍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参与人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付美霞（配置管理 / 测试）</w:t>
            </w:r>
          </w:p>
        </w:tc>
        <w:tc>
          <w:tcPr>
            <w:tcW w:type="dxa" w:w="147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影响基线</w:t>
            </w:r>
          </w:p>
        </w:tc>
        <w:tc>
          <w:tcPr>
            <w:tcW w:type="dxa" w:w="260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BL-001（V1.0）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变更类型</w:t>
            </w:r>
          </w:p>
        </w:tc>
        <w:tc>
          <w:tcPr>
            <w:tcW w:type="dxa" w:w="306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一般变更（修改）</w:t>
            </w:r>
          </w:p>
        </w:tc>
        <w:tc>
          <w:tcPr>
            <w:tcW w:type="dxa" w:w="147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变更优先级</w:t>
            </w:r>
          </w:p>
        </w:tc>
        <w:tc>
          <w:tcPr>
            <w:tcW w:type="dxa" w:w="260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分析结论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建议批准（附 3 项条件）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预计工作量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15.5 人时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2  变更内容概述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2.1  变更前后对照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2-1  变更前后对照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3402"/>
        <w:gridCol w:w="3855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type="dxa" w:w="340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变更前（V1.0）</w:t>
            </w:r>
          </w:p>
        </w:tc>
        <w:tc>
          <w:tcPr>
            <w:tcW w:type="dxa" w:w="385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变更后（V1.1）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适用需求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REQ-013 借阅资格自动校验</w:t>
            </w:r>
          </w:p>
        </w:tc>
        <w:tc>
          <w:tcPr>
            <w:tcW w:type="dxa" w:w="385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REQ-013、REQ-010（参数增项）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超期判定</w:t>
            </w:r>
          </w:p>
        </w:tc>
        <w:tc>
          <w:tcPr>
            <w:tcW w:type="dxa" w:w="340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存在任一册超期即拒绝借书</w:t>
            </w:r>
          </w:p>
        </w:tc>
        <w:tc>
          <w:tcPr>
            <w:tcW w:type="dxa" w:w="385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超期超过 7 天（不含第 7 天）才拒绝；宽限期内仅提示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提示文案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“当前有 N 册图书超期未还（最长超期 M 天）”</w:t>
            </w:r>
          </w:p>
        </w:tc>
        <w:tc>
          <w:tcPr>
            <w:tcW w:type="dxa" w:w="385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阻断：“超期超过宽限期 7 天（最长超期 M 天）”；放行：“另有 N 册已超期（最长 M 天），尚在 7 天宽限期内”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参数</w:t>
            </w:r>
          </w:p>
        </w:tc>
        <w:tc>
          <w:tcPr>
            <w:tcW w:type="dxa" w:w="340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借阅册数、借期、续借、预约</w:t>
            </w:r>
          </w:p>
        </w:tc>
        <w:tc>
          <w:tcPr>
            <w:tcW w:type="dxa" w:w="385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增加“超期宽限期（天）”，默认 7 天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罚款计算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按应还日期计逾期天数与金额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不变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2.2  变更要点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规则口径：宽限期为 7 天且含第 7 天，第 8 天起恢复为阻断，边界明确可测；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放行方式：宽限期内不终止借书，只在校验结果与界面提示中告知超期情况；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参数化：宽限期作为读者类型参数配置，不在代码中硬编码；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口径隔离：罚款计算（REQ-018）保持原规则，宽限期不等于免罚期。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3  影响范围分析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3.1  对需求基线的影响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  受影响需求条目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4"/>
        <w:gridCol w:w="1701"/>
        <w:gridCol w:w="907"/>
        <w:gridCol w:w="1361"/>
        <w:gridCol w:w="3005"/>
        <w:gridCol w:w="680"/>
      </w:tblGrid>
      <w:tr>
        <w:trPr>
          <w:tblHeader w:val="true"/>
          <w:cantSplit w:val="true"/>
        </w:trPr>
        <w:tc>
          <w:tcPr>
            <w:tcW w:type="dxa" w:w="96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需求编号</w:t>
            </w:r>
          </w:p>
        </w:tc>
        <w:tc>
          <w:tcPr>
            <w:tcW w:type="dxa" w:w="170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需求名称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变更方式</w:t>
            </w:r>
          </w:p>
        </w:tc>
        <w:tc>
          <w:tcPr>
            <w:tcW w:type="dxa" w:w="13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版本</w:t>
            </w:r>
          </w:p>
        </w:tc>
        <w:tc>
          <w:tcPr>
            <w:tcW w:type="dxa" w:w="300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影响说明</w:t>
            </w:r>
          </w:p>
        </w:tc>
        <w:tc>
          <w:tcPr>
            <w:tcW w:type="dxa" w:w="68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REQ-013</w:t>
            </w:r>
          </w:p>
        </w:tc>
        <w:tc>
          <w:tcPr>
            <w:tcW w:type="dxa" w:w="170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借阅资格自动校验</w:t>
            </w:r>
          </w:p>
        </w:tc>
        <w:tc>
          <w:tcPr>
            <w:tcW w:type="dxa" w:w="9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修改</w:t>
            </w:r>
          </w:p>
        </w:tc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 → V1.1</w:t>
            </w:r>
          </w:p>
        </w:tc>
        <w:tc>
          <w:tcPr>
            <w:tcW w:type="dxa" w:w="300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超期判定由“存在超期即拒绝”改为“超过 7 天宽限期才拒绝”，宽限期内仅提示</w:t>
            </w:r>
          </w:p>
        </w:tc>
        <w:tc>
          <w:tcPr>
            <w:tcW w:type="dxa" w:w="68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REQ-010</w:t>
            </w:r>
          </w:p>
        </w:tc>
        <w:tc>
          <w:tcPr>
            <w:tcW w:type="dxa" w:w="170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读者类型与借阅规则配置</w:t>
            </w:r>
          </w:p>
        </w:tc>
        <w:tc>
          <w:tcPr>
            <w:tcW w:type="dxa" w:w="9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修改</w:t>
            </w:r>
          </w:p>
        </w:tc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 → V1.1</w:t>
            </w:r>
          </w:p>
        </w:tc>
        <w:tc>
          <w:tcPr>
            <w:tcW w:type="dxa" w:w="300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借阅参数增加“超期宽限期（天）”，默认 7 天，随读者类型配置</w:t>
            </w:r>
          </w:p>
        </w:tc>
        <w:tc>
          <w:tcPr>
            <w:tcW w:type="dxa" w:w="68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REQ-018</w:t>
            </w:r>
          </w:p>
        </w:tc>
        <w:tc>
          <w:tcPr>
            <w:tcW w:type="dxa" w:w="170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逾期判定与罚款计算</w:t>
            </w:r>
          </w:p>
        </w:tc>
        <w:tc>
          <w:tcPr>
            <w:tcW w:type="dxa" w:w="9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不变</w:t>
            </w:r>
          </w:p>
        </w:tc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300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经确认不受影响：宽限期只作用于借阅资格，逾期判定与罚款金额仍按应还日期计算</w:t>
            </w:r>
          </w:p>
        </w:tc>
        <w:tc>
          <w:tcPr>
            <w:tcW w:type="dxa" w:w="68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REQ-012</w:t>
            </w:r>
          </w:p>
        </w:tc>
        <w:tc>
          <w:tcPr>
            <w:tcW w:type="dxa" w:w="170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借书登记</w:t>
            </w:r>
          </w:p>
        </w:tc>
        <w:tc>
          <w:tcPr>
            <w:tcW w:type="dxa" w:w="90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不变</w:t>
            </w:r>
          </w:p>
        </w:tc>
        <w:tc>
          <w:tcPr>
            <w:tcW w:type="dxa" w:w="136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300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条款不变，界面对宽限期内借书增加提示语，属于界面文案调整</w:t>
            </w:r>
          </w:p>
        </w:tc>
        <w:tc>
          <w:tcPr>
            <w:tcW w:type="dxa" w:w="68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结论：基线需求总数仍为 45 条，无新增、无删除、无优先级调整；REQ-013 与 REQ-010 升版为 V1.1，其余 43 条保持 V1.0。变更后需建立新基线 BL-002（V1.1），BL-001 作为历史基线归档，后续变更以 BL-002 为比较基准。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3.2  对设计的影响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  设计影响清单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1"/>
        <w:gridCol w:w="6576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设计位置</w:t>
            </w:r>
          </w:p>
        </w:tc>
        <w:tc>
          <w:tcPr>
            <w:tcW w:type="dxa" w:w="657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需修改的设计内容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3.4  REQ-013 主流程</w:t>
            </w:r>
          </w:p>
        </w:tc>
        <w:tc>
          <w:tcPr>
            <w:tcW w:type="dxa" w:w="657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第 3 步“校验是否存在超期未还图书”改为“校验是否存在超期超过宽限期的图书；宽限期内仅提示”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3.4  REQ-013 异常流程</w:t>
            </w:r>
          </w:p>
        </w:tc>
        <w:tc>
          <w:tcPr>
            <w:tcW w:type="dxa" w:w="657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E3 改写为“超期超过宽限期：提示超期册数与最长超期天数，终止操作”；新增 E4“宽限期内借书：允许借出并提示”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3.4  REQ-013 验收标准</w:t>
            </w:r>
          </w:p>
        </w:tc>
        <w:tc>
          <w:tcPr>
            <w:tcW w:type="dxa" w:w="657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新增“宽限期 7 天（含）内允许借书、8 天拒绝”的可测口径，其余 4 条不变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3.4  REQ-010 参数表</w:t>
            </w:r>
          </w:p>
        </w:tc>
        <w:tc>
          <w:tcPr>
            <w:tcW w:type="dxa" w:w="657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读者类型参数表增加“超期宽限期（天）”一行，三类读者均取 7 天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4.2  领域模型</w:t>
            </w:r>
          </w:p>
        </w:tc>
        <w:tc>
          <w:tcPr>
            <w:tcW w:type="dxa" w:w="657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BorrowRule 增加 overdue_grace_days 字段（默认 7 天），Reader / BookCopy / Loan 不变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4.3  服务接口</w:t>
            </w:r>
          </w:p>
        </w:tc>
        <w:tc>
          <w:tcPr>
            <w:tcW w:type="dxa" w:w="657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BorrowService.check 返回的 details 增加 grace_days、grace_overdue 两个字段，调用方无需改动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结论：影响集中在借阅资格校验的判定分支与提示文案，领域模型仅增加一个带默认值的参数字段，服务接口只新增返回字段，不涉及架构调整，也不影响其他模块的调用方式。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3.3  对代码的影响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3-3  代码影响清单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541"/>
        <w:gridCol w:w="1989"/>
        <w:gridCol w:w="3314"/>
        <w:gridCol w:w="773"/>
      </w:tblGrid>
      <w:tr>
        <w:trPr>
          <w:tblHeader w:val="true"/>
          <w:cantSplit w:val="true"/>
        </w:trPr>
        <w:tc>
          <w:tcPr>
            <w:tcW w:type="dxa" w:w="254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文件</w:t>
            </w:r>
          </w:p>
        </w:tc>
        <w:tc>
          <w:tcPr>
            <w:tcW w:type="dxa" w:w="198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位置</w:t>
            </w:r>
          </w:p>
        </w:tc>
        <w:tc>
          <w:tcPr>
            <w:tcW w:type="dxa" w:w="33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改动内容</w:t>
            </w:r>
          </w:p>
        </w:tc>
        <w:tc>
          <w:tcPr>
            <w:tcW w:type="dxa" w:w="77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行数</w:t>
            </w:r>
          </w:p>
        </w:tc>
      </w:tr>
      <w:tr>
        <w:trPr>
          <w:cantSplit w:val="true"/>
        </w:trPr>
        <w:tc>
          <w:tcPr>
            <w:tcW w:type="dxa" w:w="254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src/lms/rules.py</w:t>
            </w:r>
          </w:p>
        </w:tc>
        <w:tc>
          <w:tcPr>
            <w:tcW w:type="dxa" w:w="198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BorrowRule</w:t>
            </w:r>
          </w:p>
        </w:tc>
        <w:tc>
          <w:tcPr>
            <w:tcW w:type="dxa" w:w="331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新增 overdue_grace_days 字段，三类读者默认 7 天</w:t>
            </w:r>
          </w:p>
        </w:tc>
        <w:tc>
          <w:tcPr>
            <w:tcW w:type="dxa" w:w="77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+1 / −0</w:t>
            </w:r>
          </w:p>
        </w:tc>
      </w:tr>
      <w:tr>
        <w:trPr>
          <w:cantSplit w:val="true"/>
        </w:trPr>
        <w:tc>
          <w:tcPr>
            <w:tcW w:type="dxa" w:w="254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src/lms/borrow_service.py</w:t>
            </w:r>
          </w:p>
        </w:tc>
        <w:tc>
          <w:tcPr>
            <w:tcW w:type="dxa" w:w="198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BorrowService.check</w:t>
            </w:r>
          </w:p>
        </w:tc>
        <w:tc>
          <w:tcPr>
            <w:tcW w:type="dxa" w:w="331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超期判定改为超过宽限期才阻断；校验通过时在提示中补充宽限期说明</w:t>
            </w:r>
          </w:p>
        </w:tc>
        <w:tc>
          <w:tcPr>
            <w:tcW w:type="dxa" w:w="77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+15 / −6</w:t>
            </w:r>
          </w:p>
        </w:tc>
      </w:tr>
      <w:tr>
        <w:trPr>
          <w:cantSplit w:val="true"/>
        </w:trPr>
        <w:tc>
          <w:tcPr>
            <w:tcW w:type="dxa" w:w="25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tests/test_borrow_service.py</w:t>
            </w:r>
          </w:p>
        </w:tc>
        <w:tc>
          <w:tcPr>
            <w:tcW w:type="dxa" w:w="198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BorrowServiceTest</w:t>
            </w:r>
          </w:p>
        </w:tc>
        <w:tc>
          <w:tcPr>
            <w:tcW w:type="dxa" w:w="331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修改 TC-05 预期文案；新增 TC-17～TC-19 三条边界与提示用例</w:t>
            </w:r>
          </w:p>
        </w:tc>
        <w:tc>
          <w:tcPr>
            <w:tcW w:type="dxa" w:w="77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+27 / −2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结论：改动集中在 BorrowService.check() 的超期判定与提示拼装，BorrowService.borrow() 的批量校验与原子提交逻辑无需改动；BorrowRule 新字段带默认值，既有构造调用保持兼容。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需注意的是边界判断的写法：以“超过宽限期才阻断”（overdue_days &gt; grace）表达，避免把第 7 天误判为超期；该口径由 TC-18、TC-19 两条边界用例锁定。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3.4  对测试用例的影响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3-4  测试用例影响清单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77"/>
        <w:gridCol w:w="2608"/>
        <w:gridCol w:w="850"/>
        <w:gridCol w:w="3061"/>
        <w:gridCol w:w="1020"/>
      </w:tblGrid>
      <w:tr>
        <w:trPr>
          <w:tblHeader w:val="true"/>
          <w:cantSplit w:val="true"/>
        </w:trPr>
        <w:tc>
          <w:tcPr>
            <w:tcW w:type="dxa" w:w="107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用例编号</w:t>
            </w:r>
          </w:p>
        </w:tc>
        <w:tc>
          <w:tcPr>
            <w:tcW w:type="dxa" w:w="260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用例标题</w:t>
            </w:r>
          </w:p>
        </w:tc>
        <w:tc>
          <w:tcPr>
            <w:tcW w:type="dxa" w:w="85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处理方式</w:t>
            </w:r>
          </w:p>
        </w:tc>
        <w:tc>
          <w:tcPr>
            <w:tcW w:type="dxa" w:w="30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变更说明</w:t>
            </w:r>
          </w:p>
        </w:tc>
        <w:tc>
          <w:tcPr>
            <w:tcW w:type="dxa" w:w="102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执行结果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TC-05</w:t>
            </w:r>
          </w:p>
        </w:tc>
        <w:tc>
          <w:tcPr>
            <w:tcW w:type="dxa" w:w="260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存在超期未还时拒绝借书</w:t>
            </w:r>
          </w:p>
        </w:tc>
        <w:tc>
          <w:tcPr>
            <w:tcW w:type="dxa" w:w="85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修改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超期 10 天仍应拒绝，预期文案改为“超过宽限期 7 天（最长超期 10 天）”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回归通过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TC-17</w:t>
            </w:r>
          </w:p>
        </w:tc>
        <w:tc>
          <w:tcPr>
            <w:tcW w:type="dxa" w:w="260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超期 3 天在宽限期内允许借书并提示</w:t>
            </w:r>
          </w:p>
        </w:tc>
        <w:tc>
          <w:tcPr>
            <w:tcW w:type="dxa" w:w="85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新增</w:t>
            </w:r>
          </w:p>
        </w:tc>
        <w:tc>
          <w:tcPr>
            <w:tcW w:type="dxa" w:w="306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验证宽限期内放行与提示文案，覆盖正常路径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TC-18</w:t>
            </w:r>
          </w:p>
        </w:tc>
        <w:tc>
          <w:tcPr>
            <w:tcW w:type="dxa" w:w="260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超期 7 天（宽限期边界）仍允许借书</w:t>
            </w:r>
          </w:p>
        </w:tc>
        <w:tc>
          <w:tcPr>
            <w:tcW w:type="dxa" w:w="85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新增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边界值：第 7 天仍属宽限期，应放行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TC-19</w:t>
            </w:r>
          </w:p>
        </w:tc>
        <w:tc>
          <w:tcPr>
            <w:tcW w:type="dxa" w:w="260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超期 8 天超过宽限期拒绝借书</w:t>
            </w:r>
          </w:p>
        </w:tc>
        <w:tc>
          <w:tcPr>
            <w:tcW w:type="dxa" w:w="85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新增</w:t>
            </w:r>
          </w:p>
        </w:tc>
        <w:tc>
          <w:tcPr>
            <w:tcW w:type="dxa" w:w="306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边界值：第 8 天超过宽限期，应拒绝并写日志</w:t>
            </w:r>
          </w:p>
        </w:tc>
        <w:tc>
          <w:tcPr>
            <w:tcW w:type="dxa" w:w="102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回归范围：TC-01～TC-16 共 16 条原用例全部回归，重点复核 TC-03（额度优先）、TC-05（超期拒绝）与 TC-15（多项不通过的顺序），确认变更未改变“状态→额度→超期→预约”的判定顺序。变更后用例总数 19 条，执行结果见《测试用例表》V1.1。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3.5  对项目进度与资源的影响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3-5  进度与资源影响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691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type="dxa" w:w="691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所属迭代</w:t>
            </w:r>
          </w:p>
        </w:tc>
        <w:tc>
          <w:tcPr>
            <w:tcW w:type="dxa" w:w="691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I1 借还主流程（计划 2026-11-13 完成）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额外工时</w:t>
            </w:r>
          </w:p>
        </w:tc>
        <w:tc>
          <w:tcPr>
            <w:tcW w:type="dxa" w:w="691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15.5 人时（约 2 人日），由组内 4 人分担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里程碑影响</w:t>
            </w:r>
          </w:p>
        </w:tc>
        <w:tc>
          <w:tcPr>
            <w:tcW w:type="dxa" w:w="691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无影响。工作安排在迭代缓冲内，借还主流程里程碑仍为 2026-11-13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关键路径</w:t>
            </w:r>
          </w:p>
        </w:tc>
        <w:tc>
          <w:tcPr>
            <w:tcW w:type="dxa" w:w="691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编码（11-12）与验证（11-12）同日完成，文档与基线更新（11-13）并行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交付物影响</w:t>
            </w:r>
          </w:p>
        </w:tc>
        <w:tc>
          <w:tcPr>
            <w:tcW w:type="dxa" w:w="691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第四部分 3 份文档；第三部分跟踪矩阵、测试用例表升版 V1.1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4  工作量估算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工作量按变更流程的六个环节估算，采用组内历史数据（第三部分借书登记与校验功能的实现与测试工时）作为参照，估算结果见表 4-1。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4-1  工作量估算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94"/>
        <w:gridCol w:w="2041"/>
        <w:gridCol w:w="1247"/>
        <w:gridCol w:w="2835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工作项</w:t>
            </w:r>
          </w:p>
        </w:tc>
        <w:tc>
          <w:tcPr>
            <w:tcW w:type="dxa" w:w="204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承担角色</w:t>
            </w:r>
          </w:p>
        </w:tc>
        <w:tc>
          <w:tcPr>
            <w:tcW w:type="dxa" w:w="12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工时（人时）</w:t>
            </w:r>
          </w:p>
        </w:tc>
        <w:tc>
          <w:tcPr>
            <w:tcW w:type="dxa" w:w="283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变更申请与业务澄清</w:t>
            </w:r>
          </w:p>
        </w:tc>
        <w:tc>
          <w:tcPr>
            <w:tcW w:type="dxa" w:w="20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楚汶霖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1.5</w:t>
            </w:r>
          </w:p>
        </w:tc>
        <w:tc>
          <w:tcPr>
            <w:tcW w:type="dxa" w:w="283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汇总读者回访记录与流通部超期数据，编写申请单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影响分析</w:t>
            </w:r>
          </w:p>
        </w:tc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郭顺杰、韦丽珍</w:t>
            </w:r>
          </w:p>
        </w:tc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3.0</w:t>
            </w:r>
          </w:p>
        </w:tc>
        <w:tc>
          <w:tcPr>
            <w:tcW w:type="dxa" w:w="283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需求、设计、代码、用例四条线逐一核对影响面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CCB 评审</w:t>
            </w:r>
          </w:p>
        </w:tc>
        <w:tc>
          <w:tcPr>
            <w:tcW w:type="dxa" w:w="20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CCB 全体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1.5</w:t>
            </w:r>
          </w:p>
        </w:tc>
        <w:tc>
          <w:tcPr>
            <w:tcW w:type="dxa" w:w="283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评审影响分析结论，确认批准条件与生效范围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编码实现</w:t>
            </w:r>
          </w:p>
        </w:tc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韦丽珍</w:t>
            </w:r>
          </w:p>
        </w:tc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4.0</w:t>
            </w:r>
          </w:p>
        </w:tc>
        <w:tc>
          <w:tcPr>
            <w:tcW w:type="dxa" w:w="283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修改规则参数与校验逻辑，自测通过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测试与回归</w:t>
            </w:r>
          </w:p>
        </w:tc>
        <w:tc>
          <w:tcPr>
            <w:tcW w:type="dxa" w:w="20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付美霞、韦丽珍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3.0</w:t>
            </w:r>
          </w:p>
        </w:tc>
        <w:tc>
          <w:tcPr>
            <w:tcW w:type="dxa" w:w="283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新增 3 条用例、修改 1 条，回归 16 条原用例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文档与基线更新</w:t>
            </w:r>
          </w:p>
        </w:tc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付美霞、郭顺杰</w:t>
            </w:r>
          </w:p>
        </w:tc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2.5</w:t>
            </w:r>
          </w:p>
        </w:tc>
        <w:tc>
          <w:tcPr>
            <w:tcW w:type="dxa" w:w="283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更新 SRS 变更页、需求池、跟踪矩阵与用例表，发布 BL-002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合计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15.5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约 2 人日，占迭代 I1 缓冲工时的 40%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估算偏差控制：编码与测试环节若超出估算 2 人时，由项目经理评估是否拆分到 I2 迭代；截至验证完成，实际投入与估算一致（15.5 人时）。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5  风险分析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5-1  风险识别与应对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61"/>
        <w:gridCol w:w="907"/>
        <w:gridCol w:w="680"/>
        <w:gridCol w:w="3969"/>
      </w:tblGrid>
      <w:tr>
        <w:trPr>
          <w:tblHeader w:val="true"/>
          <w:cantSplit w:val="true"/>
        </w:trPr>
        <w:tc>
          <w:tcPr>
            <w:tcW w:type="dxa" w:w="30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风险描述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类别</w:t>
            </w:r>
          </w:p>
        </w:tc>
        <w:tc>
          <w:tcPr>
            <w:tcW w:type="dxa" w:w="68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等级</w:t>
            </w:r>
          </w:p>
        </w:tc>
        <w:tc>
          <w:tcPr>
            <w:tcW w:type="dxa" w:w="396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应对措施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宽限期被误解为“免罚期”，读者据此拖延归还</w:t>
            </w:r>
          </w:p>
        </w:tc>
        <w:tc>
          <w:tcPr>
            <w:tcW w:type="dxa" w:w="9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业务</w:t>
            </w:r>
          </w:p>
        </w:tc>
        <w:tc>
          <w:tcPr>
            <w:tcW w:type="dxa" w:w="68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tcW w:type="dxa" w:w="396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提示文案明确“仍在宽限期内，请尽快归还”；对外说明与罚款规则一并宣讲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边界值实现偏差（如把第 7 天算作超期）</w:t>
            </w:r>
          </w:p>
        </w:tc>
        <w:tc>
          <w:tcPr>
            <w:tcW w:type="dxa" w:w="9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技术</w:t>
            </w:r>
          </w:p>
        </w:tc>
        <w:tc>
          <w:tcPr>
            <w:tcW w:type="dxa" w:w="68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tcW w:type="dxa" w:w="396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以 7 天、8 天两条边界用例锁定口径；代码中以“超过宽限期才阻断”表达，避免差一错误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宽限期参数按读者类型配置后，与其他参数混用导致默认值失效</w:t>
            </w:r>
          </w:p>
        </w:tc>
        <w:tc>
          <w:tcPr>
            <w:tcW w:type="dxa" w:w="9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技术</w:t>
            </w:r>
          </w:p>
        </w:tc>
        <w:tc>
          <w:tcPr>
            <w:tcW w:type="dxa" w:w="68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低</w:t>
            </w:r>
          </w:p>
        </w:tc>
        <w:tc>
          <w:tcPr>
            <w:tcW w:type="dxa" w:w="396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字段设默认值 7 天，参数集中配置并有 TC-17、TC-18 覆盖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变更后未同步更新跟踪矩阵与用例表，造成文档与代码不一致</w:t>
            </w:r>
          </w:p>
        </w:tc>
        <w:tc>
          <w:tcPr>
            <w:tcW w:type="dxa" w:w="90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过程</w:t>
            </w:r>
          </w:p>
        </w:tc>
        <w:tc>
          <w:tcPr>
            <w:tcW w:type="dxa" w:w="68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tcW w:type="dxa" w:w="396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变更验证环节增加配置管理员一致性检查，矩阵与用例表随基线一并升版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结论：无高风险项。三项中风险均可通过用例与文案控制，一项低风险由参数默认值兜底；风险在实施与验证环节逐项复核，未发生实际影响。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6  影响分析结论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综合需求、设计、代码、测试与进度五方面分析，CR-001 属于规则细化型变更：影响面集中在借阅资格校验的一个判定分支，需求总数与迭代计划不变，工作量在缓冲范围内可消化，风险可控。建议 CCB 批准实施，并要求满足以下三项条件（与申请单第 6 章一致）：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条件 1：生效范围仅限本变更批准后的借书记录，历史借阅与已产生的罚款不作追溯调整。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条件 2：罚款计算口径不变，宽限期内借书仍按应还日期计算逾期天数与罚款金额。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条件 3：界面提示必须同时给出超期册数、最长超期天数与宽限期天数，避免读者误认为免罚。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6-1  批准后的执行安排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1814"/>
        <w:gridCol w:w="1474"/>
      </w:tblGrid>
      <w:tr>
        <w:trPr>
          <w:tblHeader w:val="true"/>
          <w:cantSplit w:val="true"/>
        </w:trPr>
        <w:tc>
          <w:tcPr>
            <w:tcW w:type="dxa" w:w="532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后续动作</w:t>
            </w:r>
          </w:p>
        </w:tc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完成时间</w:t>
            </w:r>
          </w:p>
        </w:tc>
      </w:tr>
      <w:tr>
        <w:trPr>
          <w:cantSplit w:val="true"/>
        </w:trPr>
        <w:tc>
          <w:tcPr>
            <w:tcW w:type="dxa" w:w="532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SRS 出 V1.1 变更页并同步需求池条目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</w:t>
            </w:r>
          </w:p>
        </w:tc>
        <w:tc>
          <w:tcPr>
            <w:tcW w:type="dxa" w:w="147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2026-11-11</w:t>
            </w:r>
          </w:p>
        </w:tc>
      </w:tr>
      <w:tr>
        <w:trPr>
          <w:cantSplit w:val="true"/>
        </w:trPr>
        <w:tc>
          <w:tcPr>
            <w:tcW w:type="dxa" w:w="532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按方案修改 rules.py 与 borrow_service.py</w:t>
            </w:r>
          </w:p>
        </w:tc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韦丽珍</w:t>
            </w:r>
          </w:p>
        </w:tc>
        <w:tc>
          <w:tcPr>
            <w:tcW w:type="dxa" w:w="147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2026-11-12</w:t>
            </w:r>
          </w:p>
        </w:tc>
      </w:tr>
      <w:tr>
        <w:trPr>
          <w:cantSplit w:val="true"/>
        </w:trPr>
        <w:tc>
          <w:tcPr>
            <w:tcW w:type="dxa" w:w="532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补充 TC-17～TC-19 并回归 TC-01～TC-16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付美霞、韦丽珍</w:t>
            </w:r>
          </w:p>
        </w:tc>
        <w:tc>
          <w:tcPr>
            <w:tcW w:type="dxa" w:w="147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2026-11-12</w:t>
            </w:r>
          </w:p>
        </w:tc>
      </w:tr>
      <w:tr>
        <w:trPr>
          <w:cantSplit w:val="true"/>
        </w:trPr>
        <w:tc>
          <w:tcPr>
            <w:tcW w:type="dxa" w:w="532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更新跟踪矩阵与测试用例表至 V1.1</w:t>
            </w:r>
          </w:p>
        </w:tc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</w:t>
            </w:r>
          </w:p>
        </w:tc>
        <w:tc>
          <w:tcPr>
            <w:tcW w:type="dxa" w:w="147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2026-11-13</w:t>
            </w:r>
          </w:p>
        </w:tc>
      </w:tr>
      <w:tr>
        <w:trPr>
          <w:cantSplit w:val="true"/>
        </w:trP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发布基线 BL-002 并归档变更记录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701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595959"/>
        <w:sz w:val="18"/>
      </w:rPr>
      <w:t xml:space="preserve">图书借阅归还登记系统（LMS）· 影响分析报告    第 </w:t>
    </w:r>
    <w:fldSimple w:instr="PAGE">
      <w:r>
        <w:rPr>
          <w:sz w:val="18"/>
        </w:rPr>
        <w:t>1</w:t>
      </w:r>
    </w:fldSimple>
    <w:r>
      <w:rPr>
        <w:rFonts w:ascii="Times New Roman" w:hAnsi="Times New Roman" w:eastAsia="宋体" w:cs="Times New Roman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FBFBF"/>
      </w:pBdr>
    </w:pPr>
    <w:r>
      <w:rPr>
        <w:rFonts w:ascii="Times New Roman" w:hAnsi="Times New Roman" w:eastAsia="宋体" w:cs="Times New Roman"/>
        <w:b w:val="0"/>
        <w:color w:val="7F7F7F"/>
        <w:sz w:val="18"/>
      </w:rPr>
      <w:t>图书借阅归还登记系统 · 需求变更影响分析报告（CR-001）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4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图书借阅归还登记系统 需求变更影响分析报告 CR-001</dc:title>
  <dc:subject>《软件过程》课外实践作业 2（第四部分：需求变更控制）</dc:subject>
  <dc:creator>郭顺杰</dc:creator>
  <cp:keywords/>
  <dc:description>文档编号 LMS-IA-2026-11-10</dc:description>
  <cp:lastModifiedBy>郭顺杰</cp:lastModifiedBy>
  <cp:revision>1</cp:revision>
  <dcterms:created xsi:type="dcterms:W3CDTF">2013-12-23T23:15:00Z</dcterms:created>
  <dcterms:modified xsi:type="dcterms:W3CDTF">2013-12-23T23:15:00Z</dcterms:modified>
  <cp:category/>
</cp:coreProperties>
</file>