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需求变更控制流程说明</w:t>
      </w:r>
    </w:p>
    <w:p>
      <w:pPr>
        <w:jc w:val="center"/>
      </w:pPr>
      <w:r>
        <w:rPr>
          <w:rFonts w:ascii="Times New Roman" w:hAnsi="Times New Roman" w:eastAsia="宋体"/>
          <w:sz w:val="21"/>
        </w:rPr>
        <w:t>项目名称：图书借阅归还登记系统（LMS）　　版本：V1.0　　日期：2026-11-11</w:t>
      </w:r>
    </w:p>
    <w:p>
      <w:pPr>
        <w:pStyle w:val="Heading1"/>
      </w:pPr>
      <w:r>
        <w:rPr>
          <w:rFonts w:ascii="Times New Roman" w:hAnsi="Times New Roman" w:eastAsia="黑体"/>
        </w:rPr>
        <w:t>1 目的与适用范围</w:t>
      </w:r>
    </w:p>
    <w:p>
      <w:r>
        <w:rPr>
          <w:rFonts w:ascii="Times New Roman" w:hAnsi="Times New Roman" w:eastAsia="宋体"/>
          <w:b w:val="0"/>
        </w:rPr>
        <w:t>本说明定义本项目需求变更控制的范围、角色、流程与基线管理要求，确保需求变更被识别、评估、审批、实施并全程可追溯。适用于基线建立后所有功能需求（REQ-001~REQ-039）、非功能需求（NFR-001~NFR-006）以及相关文档、代码与测试的变更。</w:t>
      </w:r>
    </w:p>
    <w:p>
      <w:pPr>
        <w:pStyle w:val="Heading1"/>
      </w:pPr>
      <w:r>
        <w:rPr>
          <w:rFonts w:ascii="Times New Roman" w:hAnsi="Times New Roman" w:eastAsia="黑体"/>
        </w:rPr>
        <w:t>2 角色与职责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人员</w:t>
            </w:r>
          </w:p>
        </w:tc>
        <w:tc>
          <w:tcPr>
            <w:tcW w:type="dxa" w:w="2880"/>
          </w:tcPr>
          <w:p>
            <w:r>
              <w:t>职责</w:t>
            </w:r>
          </w:p>
        </w:tc>
      </w:tr>
      <w:tr>
        <w:tc>
          <w:tcPr>
            <w:tcW w:type="dxa" w:w="2880"/>
          </w:tcPr>
          <w:p>
            <w:r>
              <w:t>CCB（变更控制委员会）</w:t>
            </w:r>
          </w:p>
        </w:tc>
        <w:tc>
          <w:tcPr>
            <w:tcW w:type="dxa" w:w="2880"/>
          </w:tcPr>
          <w:p>
            <w:r>
              <w:t>组长：郭顺杰；成员：楚汶霖、付美霞、韦丽珍</w:t>
            </w:r>
          </w:p>
        </w:tc>
        <w:tc>
          <w:tcPr>
            <w:tcW w:type="dxa" w:w="2880"/>
          </w:tcPr>
          <w:p>
            <w:r>
              <w:t>审批重大需求变更，决定变更接受/否决/暂缓，审批新基线发布</w:t>
            </w:r>
          </w:p>
        </w:tc>
      </w:tr>
      <w:tr>
        <w:tc>
          <w:tcPr>
            <w:tcW w:type="dxa" w:w="2880"/>
          </w:tcPr>
          <w:p>
            <w:r>
              <w:t>变更管理员</w:t>
            </w:r>
          </w:p>
        </w:tc>
        <w:tc>
          <w:tcPr>
            <w:tcW w:type="dxa" w:w="2880"/>
          </w:tcPr>
          <w:p>
            <w:r>
              <w:t>付美霞（组员2，兼任）</w:t>
            </w:r>
          </w:p>
        </w:tc>
        <w:tc>
          <w:tcPr>
            <w:tcW w:type="dxa" w:w="2880"/>
          </w:tcPr>
          <w:p>
            <w:r>
              <w:t>受理变更申请、编号归档、组织影响分析、跟踪变更状态、更新跟踪矩阵</w:t>
            </w:r>
          </w:p>
        </w:tc>
      </w:tr>
      <w:tr>
        <w:tc>
          <w:tcPr>
            <w:tcW w:type="dxa" w:w="2880"/>
          </w:tcPr>
          <w:p>
            <w:r>
              <w:t>配置管理员</w:t>
            </w:r>
          </w:p>
        </w:tc>
        <w:tc>
          <w:tcPr>
            <w:tcW w:type="dxa" w:w="2880"/>
          </w:tcPr>
          <w:p>
            <w:r>
              <w:t>付美霞（组员2）</w:t>
            </w:r>
          </w:p>
        </w:tc>
        <w:tc>
          <w:tcPr>
            <w:tcW w:type="dxa" w:w="2880"/>
          </w:tcPr>
          <w:p>
            <w:r>
              <w:t>维护基线（BL-001 等）与发布包，执行配置审计</w:t>
            </w:r>
          </w:p>
        </w:tc>
      </w:tr>
      <w:tr>
        <w:tc>
          <w:tcPr>
            <w:tcW w:type="dxa" w:w="2880"/>
          </w:tcPr>
          <w:p>
            <w:r>
              <w:t>需求提出人</w:t>
            </w:r>
          </w:p>
        </w:tc>
        <w:tc>
          <w:tcPr>
            <w:tcW w:type="dxa" w:w="2880"/>
          </w:tcPr>
          <w:p>
            <w:r>
              <w:t>图书馆相关业务部门</w:t>
            </w:r>
          </w:p>
        </w:tc>
        <w:tc>
          <w:tcPr>
            <w:tcW w:type="dxa" w:w="2880"/>
          </w:tcPr>
          <w:p>
            <w:r>
              <w:t>提交需求变更申请，参与影响分析，确认变更结果</w:t>
            </w:r>
          </w:p>
        </w:tc>
      </w:tr>
      <w:tr>
        <w:tc>
          <w:tcPr>
            <w:tcW w:type="dxa" w:w="2880"/>
          </w:tcPr>
          <w:p>
            <w:r>
              <w:t>开发负责人</w:t>
            </w:r>
          </w:p>
        </w:tc>
        <w:tc>
          <w:tcPr>
            <w:tcW w:type="dxa" w:w="2880"/>
          </w:tcPr>
          <w:p>
            <w:r>
              <w:t>楚汶霖（组员1）</w:t>
            </w:r>
          </w:p>
        </w:tc>
        <w:tc>
          <w:tcPr>
            <w:tcW w:type="dxa" w:w="2880"/>
          </w:tcPr>
          <w:p>
            <w:r>
              <w:t>评估开发影响、排期并实施变更</w:t>
            </w:r>
          </w:p>
        </w:tc>
      </w:tr>
      <w:tr>
        <w:tc>
          <w:tcPr>
            <w:tcW w:type="dxa" w:w="2880"/>
          </w:tcPr>
          <w:p>
            <w:r>
              <w:t>测试负责人</w:t>
            </w:r>
          </w:p>
        </w:tc>
        <w:tc>
          <w:tcPr>
            <w:tcW w:type="dxa" w:w="2880"/>
          </w:tcPr>
          <w:p>
            <w:r>
              <w:t>韦丽珍（组员3）</w:t>
            </w:r>
          </w:p>
        </w:tc>
        <w:tc>
          <w:tcPr>
            <w:tcW w:type="dxa" w:w="2880"/>
          </w:tcPr>
          <w:p>
            <w:r>
              <w:t>评估测试影响、更新测试用例并执行回归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3 需求变更类型与触发条件</w:t>
      </w:r>
    </w:p>
    <w:p>
      <w:pPr>
        <w:pStyle w:val="ListBullet"/>
      </w:pPr>
      <w:r>
        <w:rPr>
          <w:rFonts w:ascii="Times New Roman" w:hAnsi="Times New Roman" w:eastAsia="宋体"/>
        </w:rPr>
        <w:t>新增型：新增超出既有范围的功能或规则（如新增短信提醒渠道）；</w:t>
      </w:r>
    </w:p>
    <w:p>
      <w:pPr>
        <w:pStyle w:val="ListBullet"/>
      </w:pPr>
      <w:r>
        <w:rPr>
          <w:rFonts w:ascii="Times New Roman" w:hAnsi="Times New Roman" w:eastAsia="宋体"/>
        </w:rPr>
        <w:t>修改型：修改已基线化需求的验收标准、业务规则或接口（如调整借期参数、提醒渠道）；</w:t>
      </w:r>
    </w:p>
    <w:p>
      <w:pPr>
        <w:pStyle w:val="ListBullet"/>
      </w:pPr>
      <w:r>
        <w:rPr>
          <w:rFonts w:ascii="Times New Roman" w:hAnsi="Times New Roman" w:eastAsia="宋体"/>
        </w:rPr>
        <w:t>删除型：取消或降级已基线化需求（如 REQ-040 一卡通接口取消）；</w:t>
      </w:r>
    </w:p>
    <w:p>
      <w:pPr>
        <w:pStyle w:val="ListBullet"/>
      </w:pPr>
      <w:r>
        <w:rPr>
          <w:rFonts w:ascii="Times New Roman" w:hAnsi="Times New Roman" w:eastAsia="宋体"/>
        </w:rPr>
        <w:t>非功能性：对性能、安全、易用性等非功能需求的调整。</w:t>
      </w:r>
    </w:p>
    <w:p>
      <w:r>
        <w:rPr>
          <w:rFonts w:ascii="Times New Roman" w:hAnsi="Times New Roman" w:eastAsia="宋体"/>
          <w:b w:val="0"/>
        </w:rPr>
        <w:t>触发条件：业务方提出签报/申请、基线评审遗留问题正式立项、法律法规或外部接口变化等，均应纳入变更控制。</w:t>
      </w:r>
    </w:p>
    <w:p>
      <w:pPr>
        <w:pStyle w:val="Heading1"/>
      </w:pPr>
      <w:r>
        <w:rPr>
          <w:rFonts w:ascii="Times New Roman" w:hAnsi="Times New Roman" w:eastAsia="黑体"/>
        </w:rPr>
        <w:t>4 需求变更控制流程</w:t>
      </w:r>
    </w:p>
    <w:p>
      <w:pPr>
        <w:pStyle w:val="ListNumber"/>
      </w:pPr>
      <w:r>
        <w:rPr>
          <w:rFonts w:ascii="Times New Roman" w:hAnsi="Times New Roman" w:eastAsia="宋体"/>
        </w:rPr>
        <w:t>提出变更申请：需求提出人填写《需求变更申请单》，说明变更内容、原因与期望优先级；</w:t>
      </w:r>
    </w:p>
    <w:p>
      <w:pPr>
        <w:pStyle w:val="ListNumber"/>
      </w:pPr>
      <w:r>
        <w:rPr>
          <w:rFonts w:ascii="Times New Roman" w:hAnsi="Times New Roman" w:eastAsia="宋体"/>
        </w:rPr>
        <w:t>影响分析：变更管理员指派分析人填写《影响分析报告》，评估对需求基线、设计、代码、测试、进度与风险的影响；</w:t>
      </w:r>
    </w:p>
    <w:p>
      <w:pPr>
        <w:pStyle w:val="ListNumber"/>
      </w:pPr>
      <w:r>
        <w:rPr>
          <w:rFonts w:ascii="Times New Roman" w:hAnsi="Times New Roman" w:eastAsia="宋体"/>
        </w:rPr>
        <w:t>CCB 评审决策：CCB 审查申请单与影响分析报告，形成 接受 / 否决 / 暂缓 结论并记录；</w:t>
      </w:r>
    </w:p>
    <w:p>
      <w:pPr>
        <w:pStyle w:val="ListNumber"/>
      </w:pPr>
      <w:r>
        <w:rPr>
          <w:rFonts w:ascii="Times New Roman" w:hAnsi="Times New Roman" w:eastAsia="宋体"/>
        </w:rPr>
        <w:t>实施变更：审批通过后，开发与测试按计划实施，更新需求文档、设计、代码与测试用例；</w:t>
      </w:r>
    </w:p>
    <w:p>
      <w:pPr>
        <w:pStyle w:val="ListNumber"/>
      </w:pPr>
      <w:r>
        <w:rPr>
          <w:rFonts w:ascii="Times New Roman" w:hAnsi="Times New Roman" w:eastAsia="宋体"/>
        </w:rPr>
        <w:t>验证与回归：测试负责人执行受影响及回归用例，输出验证结论；</w:t>
      </w:r>
    </w:p>
    <w:p>
      <w:pPr>
        <w:pStyle w:val="ListNumber"/>
      </w:pPr>
      <w:r>
        <w:rPr>
          <w:rFonts w:ascii="Times New Roman" w:hAnsi="Times New Roman" w:eastAsia="宋体"/>
        </w:rPr>
        <w:t>基线变更与发布：配置管理员基于原基线派生新版本（如 BL-001.1）并发布，更新《需求跟踪矩阵》对应行；</w:t>
      </w:r>
    </w:p>
    <w:p>
      <w:pPr>
        <w:pStyle w:val="ListNumber"/>
      </w:pPr>
      <w:r>
        <w:rPr>
          <w:rFonts w:ascii="Times New Roman" w:hAnsi="Times New Roman" w:eastAsia="宋体"/>
        </w:rPr>
        <w:t>归档与跟踪：变更管理员归档全部表单，更新变更状态（申请→分析→评审→实施→验证→发布→关闭）。</w:t>
      </w:r>
    </w:p>
    <w:p>
      <w:pPr>
        <w:pStyle w:val="Heading1"/>
      </w:pPr>
      <w:r>
        <w:rPr>
          <w:rFonts w:ascii="Times New Roman" w:hAnsi="Times New Roman" w:eastAsia="黑体"/>
        </w:rPr>
        <w:t>5 基线与版本管理</w:t>
      </w:r>
    </w:p>
    <w:p>
      <w:r>
        <w:rPr>
          <w:rFonts w:ascii="Times New Roman" w:hAnsi="Times New Roman" w:eastAsia="宋体"/>
          <w:b w:val="0"/>
        </w:rPr>
        <w:t>首次基线为 BL-001（2026-11-04 建立，含 45 条有效需求，REQ-040 取消不纳入基线）。每次需求变更经 CCB 批准后，在现有基线上派生新基线版本（BL-001.x），保持需求可回溯。删除/变更的需求条目在《需求跟踪矩阵》中以灰色标注并记录变更类型。</w:t>
      </w:r>
    </w:p>
    <w:p>
      <w:pPr>
        <w:pStyle w:val="Heading1"/>
      </w:pPr>
      <w:r>
        <w:rPr>
          <w:rFonts w:ascii="Times New Roman" w:hAnsi="Times New Roman" w:eastAsia="黑体"/>
        </w:rPr>
        <w:t>6 相关表单</w:t>
      </w:r>
    </w:p>
    <w:p>
      <w:pPr>
        <w:pStyle w:val="ListBullet"/>
      </w:pPr>
      <w:r>
        <w:rPr>
          <w:rFonts w:ascii="Times New Roman" w:hAnsi="Times New Roman" w:eastAsia="宋体"/>
        </w:rPr>
        <w:t>《需求变更申请单》（本目录）；</w:t>
      </w:r>
    </w:p>
    <w:p>
      <w:pPr>
        <w:pStyle w:val="ListBullet"/>
      </w:pPr>
      <w:r>
        <w:rPr>
          <w:rFonts w:ascii="Times New Roman" w:hAnsi="Times New Roman" w:eastAsia="宋体"/>
        </w:rPr>
        <w:t>《影响分析报告》（本目录）；</w:t>
      </w:r>
    </w:p>
    <w:p>
      <w:pPr>
        <w:pStyle w:val="ListBullet"/>
      </w:pPr>
      <w:r>
        <w:rPr>
          <w:rFonts w:ascii="Times New Roman" w:hAnsi="Times New Roman" w:eastAsia="宋体"/>
        </w:rPr>
        <w:t>《需求跟踪矩阵》（第三部分）。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