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需求变更申请单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CR-001  借阅资格校验增加超期宽限期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申请单编号 LMS-CRQ-2026-11-09    变更类型 一般变更    提出日期 2026 年 11 月 9 日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基本信息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变更申请基本信息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3175"/>
        <w:gridCol w:w="1361"/>
        <w:gridCol w:w="272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项目名称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图书借阅归还登记系统（LMS）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需求名称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借阅资格自动校验（REQ-013）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需求编号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REQ-013、REQ-010</w:t>
            </w:r>
          </w:p>
        </w:tc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变更类型</w:t>
            </w:r>
          </w:p>
        </w:tc>
        <w:tc>
          <w:tcPr>
            <w:tcW w:type="dxa" w:w="27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修改既有需求（一般变更）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提出日期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2026-11-09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来源部门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图书馆流通部（业务方反馈，组内整理提出）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提出人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楚汶霖（组员 1，需求分析）</w:t>
            </w:r>
          </w:p>
        </w:tc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受理人</w:t>
            </w:r>
          </w:p>
        </w:tc>
        <w:tc>
          <w:tcPr>
            <w:tcW w:type="dxa" w:w="27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郭顺杰（项目经理）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签报名称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关于借阅资格校验增加超期宽限期的请示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期望完成日期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关联基线</w:t>
            </w:r>
          </w:p>
        </w:tc>
        <w:tc>
          <w:tcPr>
            <w:tcW w:type="dxa" w:w="317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BL-001（需求基线 V1.0）</w:t>
            </w:r>
          </w:p>
        </w:tc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变更优先级</w:t>
            </w:r>
          </w:p>
        </w:tc>
        <w:tc>
          <w:tcPr>
            <w:tcW w:type="dxa" w:w="272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P0（影响借阅主流程）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变更内容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修改内容所属模块 / 文档 / 章节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变更内容定位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7143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所属模块</w:t>
            </w:r>
          </w:p>
        </w:tc>
        <w:tc>
          <w:tcPr>
            <w:tcW w:type="dxa" w:w="71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借阅登记（借阅资格校验）；关联 M2 读者管理（借阅规则参数）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所属文档</w:t>
            </w:r>
          </w:p>
        </w:tc>
        <w:tc>
          <w:tcPr>
            <w:tcW w:type="dxa" w:w="71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《软件需求规格说明书》V1.0（第 3.4 节 REQ-013、REQ-010）、《需求池文档》V1.0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修改章节</w:t>
            </w:r>
          </w:p>
        </w:tc>
        <w:tc>
          <w:tcPr>
            <w:tcW w:type="dxa" w:w="71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 主流程第 3 步、异常流程 E3、验收标准第 1 条；REQ-010 读者类型参数表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不涉及</w:t>
            </w:r>
          </w:p>
        </w:tc>
        <w:tc>
          <w:tcPr>
            <w:tcW w:type="dxa" w:w="714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数据库表结构、图书与读者基础信息、罚款计算规则（REQ-018）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原需求内容概要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借书时校验读者是否存在超期未还图书：只要存在任何一册超期未还，即拒绝借书，提示“当前有 N 册图书超期未还（最长超期 M 天），请先归还后再借”。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该规则在原型代码中实现为：只要读者存在任一册超期未还图书，BorrowService.check 即返回原因码 HAS_OVERDUE 并终止本次借书登记（用例 TC-05 覆盖）。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2.3  变更后需求内容概要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借书时校验读者超期情况：应还日期后 7 天（含第 7 天）为超期宽限期，宽限期内仍可借书，但在校验结果中提示“另有 N 册图书已超期（最长 M 天），尚在 7 天宽限期内，请尽快归还”；超期超过 7 天的图书仍作为阻断项拒绝借书，提示“超期超过宽限期 7 天（最长超期 M 天）”。宽限期按读者类型参数配置，默认 7 天；罚款计算规则不变。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变更后可归纳为四条：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宽限期 7 天（含第 7 天）：应还日期后 7 天内视为宽限期，允许继续借书；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提示不阻断：宽限期内的超期图书只在校验结果中提示，不再终止借书登记；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超期即拒绝：超期超过 7 天的图书仍为阻断项，保持原有约束强度；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参数可配、罚款不变：宽限期随读者类型参数配置（默认 7 天），逾期判定与罚款计算规则不变。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2.4  变更理由与业务依据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2-2  变更理由与业务依据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7143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依据类型</w:t>
            </w:r>
          </w:p>
        </w:tc>
        <w:tc>
          <w:tcPr>
            <w:tcW w:type="dxa" w:w="714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具体说明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读者调研</w:t>
            </w:r>
          </w:p>
        </w:tc>
        <w:tc>
          <w:tcPr>
            <w:tcW w:type="dxa" w:w="714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 年 10 月 26 日至 11 月 6 日，小组在流通部随机回访 20 名读者，其中 12 人表示曾因出差、考试等原因逾期 1～3 天，归还后仍被系统拒绝立即借阅，需等待馆员人工处理，影响使用体验。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业务数据</w:t>
            </w:r>
          </w:p>
        </w:tc>
        <w:tc>
          <w:tcPr>
            <w:tcW w:type="dxa" w:w="714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流通部近 30 天超期记录共 96 条，其中超期 7 天以内 36 条，占 37.5%；超期 30 天以上仅 9 条。现行“一册超期即锁定借阅”的规则对短期疏忽惩罚偏重。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规则边界</w:t>
            </w:r>
          </w:p>
        </w:tc>
        <w:tc>
          <w:tcPr>
            <w:tcW w:type="dxa" w:w="714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现行 REQ-013 与 REQ-018（罚款计算）相互独立。本次仅调整借阅资格的判定口径，不改变逾期天数与罚款金额的计算方式，读者在宽限期内借书仍需照常缴纳罚款。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需求变更影响（概要）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变更影响由项目经理组织需求、开发、测试三方共同分析，详细结论见《影响分析报告》（LMS-IA-2026-11-10）。概要影响见表 3-1。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变更影响概要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7030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影响维度</w:t>
            </w:r>
          </w:p>
        </w:tc>
        <w:tc>
          <w:tcPr>
            <w:tcW w:type="dxa" w:w="703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受影响需求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条：REQ-013 修改、REQ-010 修改（参数增项）；REQ-018、REQ-012 条款不变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受影响模块</w:t>
            </w:r>
          </w:p>
        </w:tc>
        <w:tc>
          <w:tcPr>
            <w:tcW w:type="dxa" w:w="703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借阅登记（资格校验）、M2 读者管理（参数配置）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工期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新增 15.5 人时（约 2 人日），在迭代 I1 缓冲内消化，里程碑不变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</w:t>
            </w:r>
          </w:p>
        </w:tc>
        <w:tc>
          <w:tcPr>
            <w:tcW w:type="dxa" w:w="7030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无额外采购与外包费用，仅组内人力投入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质量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测试用例由 16 条增至 19 条（1 条修改、3 条新增），回归范围覆盖全部 16 条原用例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</w:t>
            </w:r>
          </w:p>
        </w:tc>
        <w:tc>
          <w:tcPr>
            <w:tcW w:type="dxa" w:w="7030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出 V1.1 变更页；需求池、需求跟踪矩阵、测试用例表随之升版；基线由 BL-001 升为 BL-002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变更分级与审批路径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变更分级判定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3969"/>
        <w:gridCol w:w="2948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判定项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判定结果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判定说明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变更类型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一般变更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修改既有需求的业务规则，不新增模块与外部接口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影响需求数</w:t>
            </w:r>
          </w:p>
        </w:tc>
        <w:tc>
          <w:tcPr>
            <w:tcW w:type="dxa" w:w="396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 条（1 条修改规则、1 条参数增项）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均已在基线 BL-001 内，非新增范围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是否改变基线范围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需求总数仍为 45 条，优先级与迭代批次不变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审批路径</w:t>
            </w:r>
          </w:p>
        </w:tc>
        <w:tc>
          <w:tcPr>
            <w:tcW w:type="dxa" w:w="396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项目经理初审 → 影响分析 → CCB 评审 → 实施 → 验证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按变更控制流程执行，无需上报变更控制委员会上级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预计工作量</w:t>
            </w:r>
          </w:p>
        </w:tc>
        <w:tc>
          <w:tcPr>
            <w:tcW w:type="dxa" w:w="396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15.5 人时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详见《影响分析报告》第 4 章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需求变更审批记录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变更审批记录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56"/>
        <w:gridCol w:w="1647"/>
        <w:gridCol w:w="3074"/>
        <w:gridCol w:w="933"/>
        <w:gridCol w:w="1208"/>
      </w:tblGrid>
      <w:tr>
        <w:trPr>
          <w:tblHeader w:val="true"/>
          <w:cantSplit w:val="true"/>
        </w:trPr>
        <w:tc>
          <w:tcPr>
            <w:tcW w:type="dxa" w:w="175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审批环节</w:t>
            </w:r>
          </w:p>
        </w:tc>
        <w:tc>
          <w:tcPr>
            <w:tcW w:type="dxa" w:w="16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审批人</w:t>
            </w:r>
          </w:p>
        </w:tc>
        <w:tc>
          <w:tcPr>
            <w:tcW w:type="dxa" w:w="30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审批意见</w:t>
            </w:r>
          </w:p>
        </w:tc>
        <w:tc>
          <w:tcPr>
            <w:tcW w:type="dxa" w:w="93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签字</w:t>
            </w:r>
          </w:p>
        </w:tc>
        <w:tc>
          <w:tcPr>
            <w:tcW w:type="dxa" w:w="12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17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需求提出人员确认</w:t>
            </w:r>
          </w:p>
        </w:tc>
        <w:tc>
          <w:tcPr>
            <w:tcW w:type="dxa" w:w="16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  <w:tc>
          <w:tcPr>
            <w:tcW w:type="dxa" w:w="307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变更内容与业务诉求一致，同意提交审批</w:t>
            </w:r>
          </w:p>
        </w:tc>
        <w:tc>
          <w:tcPr>
            <w:tcW w:type="dxa" w:w="9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  <w:tc>
          <w:tcPr>
            <w:tcW w:type="dxa" w:w="12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2026-11-09</w:t>
            </w:r>
          </w:p>
        </w:tc>
      </w:tr>
      <w:tr>
        <w:trPr>
          <w:cantSplit w:val="true"/>
        </w:trPr>
        <w:tc>
          <w:tcPr>
            <w:tcW w:type="dxa" w:w="17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需求提出部门审批</w:t>
            </w:r>
          </w:p>
        </w:tc>
        <w:tc>
          <w:tcPr>
            <w:tcW w:type="dxa" w:w="16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馆长（业务方）</w:t>
            </w:r>
          </w:p>
        </w:tc>
        <w:tc>
          <w:tcPr>
            <w:tcW w:type="dxa" w:w="307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同意在 7 天宽限期内放行借阅，罚款规则不得变更</w:t>
            </w:r>
          </w:p>
        </w:tc>
        <w:tc>
          <w:tcPr>
            <w:tcW w:type="dxa" w:w="93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2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2026-11-10</w:t>
            </w:r>
          </w:p>
        </w:tc>
      </w:tr>
      <w:tr>
        <w:trPr>
          <w:cantSplit w:val="true"/>
        </w:trPr>
        <w:tc>
          <w:tcPr>
            <w:tcW w:type="dxa" w:w="17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项目经理确认</w:t>
            </w:r>
          </w:p>
        </w:tc>
        <w:tc>
          <w:tcPr>
            <w:tcW w:type="dxa" w:w="16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307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影响可控，组织 CCB 评审</w:t>
            </w:r>
          </w:p>
        </w:tc>
        <w:tc>
          <w:tcPr>
            <w:tcW w:type="dxa" w:w="93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2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2026-11-10</w:t>
            </w:r>
          </w:p>
        </w:tc>
      </w:tr>
      <w:tr>
        <w:trPr>
          <w:cantSplit w:val="true"/>
        </w:trPr>
        <w:tc>
          <w:tcPr>
            <w:tcW w:type="dxa" w:w="175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开发部门负责人审批</w:t>
            </w:r>
          </w:p>
        </w:tc>
        <w:tc>
          <w:tcPr>
            <w:tcW w:type="dxa" w:w="16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  <w:tc>
          <w:tcPr>
            <w:tcW w:type="dxa" w:w="307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技术方案可行，按 15.5 人时实施</w:t>
            </w:r>
          </w:p>
        </w:tc>
        <w:tc>
          <w:tcPr>
            <w:tcW w:type="dxa" w:w="93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  <w:tc>
          <w:tcPr>
            <w:tcW w:type="dxa" w:w="120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2026-11-11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CCB 评审结论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CCB 于 2026 年 11 月 11 日 15:00 在图书馆二层会议室召开评审会，应到 4 人、实到 4 人。会议听取了影响分析结论，逐条讨论宽限期的生效范围、罚款口径与提示文案，表决结果见表 6-1。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CCB 表决结果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3175"/>
        <w:gridCol w:w="340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CCB 角色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成员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表决意见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主任委员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郭顺杰（项目经理）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同意（附条件）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配置管理员</w:t>
            </w:r>
          </w:p>
        </w:tc>
        <w:tc>
          <w:tcPr>
            <w:tcW w:type="dxa" w:w="317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付美霞（组员 2）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开发负责人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韦丽珍（组员 3）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同意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业务代表</w:t>
            </w:r>
          </w:p>
        </w:tc>
        <w:tc>
          <w:tcPr>
            <w:tcW w:type="dxa" w:w="3175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馆长（图书馆）</w:t>
            </w:r>
          </w:p>
        </w:tc>
        <w:tc>
          <w:tcPr>
            <w:tcW w:type="dxa" w:w="340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同意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评审结论：批准 CR-001，并附加以下三项条件，作为实施与验收的依据：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1：生效范围仅限本变更批准后的借书记录，历史借阅与已产生的罚款不作追溯调整。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2：罚款计算口径不变，宽限期内借书仍按应还日期计算逾期天数与罚款金额。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条件 3：界面提示必须同时给出超期册数、最长超期天数与宽限期天数，避免读者误认为免罚。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7  关联文档与实施记录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7-1  关联文档与实施记录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041"/>
        <w:gridCol w:w="4195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文档 / 记录</w:t>
            </w:r>
          </w:p>
        </w:tc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 / 标识</w:t>
            </w:r>
          </w:p>
        </w:tc>
        <w:tc>
          <w:tcPr>
            <w:tcW w:type="dxa" w:w="419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需求变更申请单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LMS-CRQ-2026-11-09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本文档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影响分析报告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LMS-IA-2026-11-10</w:t>
            </w:r>
          </w:p>
        </w:tc>
        <w:tc>
          <w:tcPr>
            <w:tcW w:type="dxa" w:w="4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需求、设计、代码、用例与进度影响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需求基线版本说明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LMS-BL-002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变更后基线 V1.1，含变更条款全文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需求跟踪矩阵 / 测试用例表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V1.1</w:t>
            </w:r>
          </w:p>
        </w:tc>
        <w:tc>
          <w:tcPr>
            <w:tcW w:type="dxa" w:w="419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同步更新 REQ-013、REQ-010 行并新增 3 条用例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代码提交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59693b1、fb7848f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宽限期实现与用例补充，位于 task2-change-control 分支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测试结果</w:t>
            </w:r>
          </w:p>
        </w:tc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19/19 通过</w:t>
            </w:r>
          </w:p>
        </w:tc>
        <w:tc>
          <w:tcPr>
            <w:tcW w:type="dxa" w:w="419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2026-11-12 执行，其中回归 16 条、新增 3 条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8  需求变更验收测试与发布记录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变更实施完成后，按下列步骤完成验收测试、基线发布与部署确认。相较通用模板，本项目以 Git 分支与仓库目录替代 SVN 目录结构，基线名称与发布包标识相应调整。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8-1  验收测试与发布记录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00"/>
        <w:gridCol w:w="5945"/>
        <w:gridCol w:w="1036"/>
        <w:gridCol w:w="1036"/>
      </w:tblGrid>
      <w:tr>
        <w:trPr>
          <w:tblHeader w:val="true"/>
          <w:cantSplit w:val="true"/>
        </w:trPr>
        <w:tc>
          <w:tcPr>
            <w:tcW w:type="dxa" w:w="600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ID</w:t>
            </w:r>
          </w:p>
        </w:tc>
        <w:tc>
          <w:tcPr>
            <w:tcW w:type="dxa" w:w="5945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主要活动</w:t>
            </w:r>
          </w:p>
        </w:tc>
        <w:tc>
          <w:tcPr>
            <w:tcW w:type="dxa" w:w="103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确认人</w:t>
            </w:r>
          </w:p>
        </w:tc>
        <w:tc>
          <w:tcPr>
            <w:tcW w:type="dxa" w:w="103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开发负责人向项目经理申请验收测试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韦丽珍 / 郭顺杰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项目经理检查分支 task2-change-control 的文件状态，确认提交完整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郭顺杰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开发负责人在基线上构建 V1.1 交付物，放入“4.需求变更控制”目录并通知配置管理员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韦丽珍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配置管理员制作基线 BL-002，登记配置项版本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付美霞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配置管理员将交付物入库，核对目录结构与命名规范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付美霞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验收测试人员按 V1.1 交付物执行 TC-01～TC-19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付美霞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2026-11-12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提交验收测试结果，项目经理组织评审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付美霞 / 郭顺杰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项目经理判定验收结果：☑ 验收通过，可以发布　☐ 验收未通过，退回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郭顺杰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项目经理通知受影响模块（M2 参数、M3 借阅登记）同步调整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郭顺杰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发布包合入主分支并确认结果：☑ 成功　☐ 失败，退回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韦丽珍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type="dxa" w:w="594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开发负责人确认本变更对其他需求无影响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韦丽珍</w:t>
            </w:r>
          </w:p>
        </w:tc>
        <w:tc>
          <w:tcPr>
            <w:tcW w:type="dxa" w:w="10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  <w:tr>
        <w:trPr>
          <w:cantSplit w:val="true"/>
        </w:trPr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type="dxa" w:w="59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配置管理员确认交付成功并归档变更记录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付美霞</w:t>
            </w:r>
          </w:p>
        </w:tc>
        <w:tc>
          <w:tcPr>
            <w:tcW w:type="dxa" w:w="10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2026-11-13</w:t>
            </w:r>
          </w:p>
        </w:tc>
      </w:tr>
    </w:tbl>
    <w:p>
      <w:pPr>
        <w:spacing w:before="16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基线名称：BL-002（LMS 需求基线 V1.1）；发布包：第四部分三份交付物与 V1.1 版需求基线配置项，对应提交 59693b1（实现）与 fb7848f（用例）。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需求变更申请单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需求变更申请单（CR-001）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需求变更申请单 CR-001</dc:title>
  <dc:subject>《软件过程》课外实践作业 2（第四部分：需求变更控制）</dc:subject>
  <dc:creator>郭顺杰</dc:creator>
  <cp:keywords/>
  <dc:description>文档编号 LMS-CRQ-2026-11-09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