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Computational Spectroscopy Module</w:t>
      </w:r>
    </w:p>
    <w:p>
      <w:pPr>
        <w:spacing w:after="40"/>
        <w:jc w:val="center"/>
      </w:pPr>
      <w:r>
        <w:rPr>
          <w:rFonts w:ascii="Arial" w:cs="Arial" w:eastAsia="Arial" w:hAnsi="Arial"/>
          <w:sz w:val="28"/>
          <w:szCs w:val="28"/>
        </w:rPr>
        <w:t xml:space="preserve">VCD / IR Spectroscopy — Student Report</w:t>
      </w:r>
    </w:p>
    <w:p>
      <w:pPr>
        <w:spacing w:after="200"/>
        <w:jc w:val="center"/>
      </w:pPr>
      <w:r>
        <w:rPr>
          <w:rFonts w:ascii="Arial" w:cs="Arial" w:eastAsia="Arial" w:hAnsi="Arial"/>
          <w:sz w:val="22"/>
          <w:szCs w:val="22"/>
        </w:rPr>
        <w:t xml:space="preserve">Department of Chemistry, University of South Florida</w:t>
      </w:r>
    </w:p>
    <w:p>
      <w:pPr>
        <w:spacing w:after="120" w:before="120"/>
      </w:pPr>
      <w:r>
        <w:rPr>
          <w:rFonts w:ascii="Arial" w:cs="Arial" w:eastAsia="Arial" w:hAnsi="Arial"/>
          <w:b/>
          <w:bCs/>
          <w:sz w:val="22"/>
          <w:szCs w:val="22"/>
        </w:rPr>
        <w:t xml:space="preserve">Name(s):</w:t>
      </w:r>
    </w:p>
    <w:p>
      <w:pPr>
        <w:spacing w:after="60" w:before="60"/>
      </w:pPr>
      <w:r>
        <w:rPr>
          <w:rFonts w:ascii="Arial" w:cs="Arial" w:eastAsia="Arial" w:hAnsi="Arial"/>
          <w:sz w:val="22"/>
          <w:szCs w:val="22"/>
        </w:rPr>
        <w:t xml:space="preserve">________________________________________</w:t>
      </w:r>
    </w:p>
    <w:p>
      <w:pPr>
        <w:spacing w:after="120" w:before="120"/>
      </w:pPr>
      <w:r>
        <w:rPr>
          <w:rFonts w:ascii="Arial" w:cs="Arial" w:eastAsia="Arial" w:hAnsi="Arial"/>
          <w:b/>
          <w:bCs/>
          <w:sz w:val="22"/>
          <w:szCs w:val="22"/>
        </w:rPr>
        <w:t xml:space="preserve">Date:</w:t>
      </w:r>
    </w:p>
    <w:p>
      <w:pPr>
        <w:spacing w:after="60" w:before="60"/>
      </w:pPr>
      <w:r>
        <w:rPr>
          <w:rFonts w:ascii="Arial" w:cs="Arial" w:eastAsia="Arial" w:hAnsi="Arial"/>
          <w:sz w:val="22"/>
          <w:szCs w:val="22"/>
        </w:rPr>
        <w:t xml:space="preserve">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before="40"/>
            </w:pPr>
            <w:r>
              <w:rPr>
                <w:rFonts w:ascii="Arial" w:cs="Arial" w:eastAsia="Arial" w:hAnsi="Arial"/>
                <w:b/>
                <w:bCs/>
                <w:sz w:val="20"/>
                <w:szCs w:val="20"/>
              </w:rPr>
              <w:t xml:space="preserve">Instructions</w:t>
            </w:r>
          </w:p>
          <w:p>
            <w:pPr>
              <w:spacing w:after="40" w:before="40"/>
            </w:pPr>
            <w:r>
              <w:rPr>
                <w:rFonts w:ascii="Arial" w:cs="Arial" w:eastAsia="Arial" w:hAnsi="Arial"/>
                <w:sz w:val="20"/>
                <w:szCs w:val="20"/>
              </w:rPr>
              <w:t xml:space="preserve">This template guides you through a 2–3 page report on your VCD/IR computational spectroscopy results.</w:t>
            </w:r>
          </w:p>
          <w:p>
            <w:pPr>
              <w:spacing w:after="40" w:before="40"/>
            </w:pPr>
            <w:r>
              <w:rPr>
                <w:rFonts w:ascii="Arial" w:cs="Arial" w:eastAsia="Arial" w:hAnsi="Arial"/>
                <w:sz w:val="20"/>
                <w:szCs w:val="20"/>
              </w:rPr>
              <w:t xml:space="preserve">Replace all grey italic text with your own writing. Delete guidance boxes before submitting.</w:t>
            </w:r>
          </w:p>
          <w:p>
            <w:pPr>
              <w:spacing w:after="40" w:before="40"/>
            </w:pPr>
            <w:r>
              <w:rPr>
                <w:rFonts w:ascii="Arial" w:cs="Arial" w:eastAsia="Arial" w:hAnsi="Arial"/>
                <w:sz w:val="20"/>
                <w:szCs w:val="20"/>
              </w:rPr>
              <w:t xml:space="preserve">Include at least one figure and one data table. All figures need captions.</w:t>
            </w:r>
          </w:p>
          <w:p>
            <w:pPr>
              <w:spacing w:after="40" w:before="40"/>
            </w:pPr>
            <w:r>
              <w:rPr>
                <w:rFonts w:ascii="Arial" w:cs="Arial" w:eastAsia="Arial" w:hAnsi="Arial"/>
                <w:sz w:val="20"/>
                <w:szCs w:val="20"/>
              </w:rPr>
              <w:t xml:space="preserve">Target length: 2–3 pages (excluding tables and figures).</w:t>
            </w:r>
          </w:p>
        </w:tc>
      </w:tr>
    </w:tbl>
    <w:p>
      <w:pPr>
        <w:pStyle w:val="Heading1"/>
      </w:pPr>
      <w:r>
        <w:t xml:space="preserve">1. Introduction</w:t>
      </w:r>
    </w:p>
    <w:p>
      <w:pPr>
        <w:spacing w:after="100" w:before="100"/>
      </w:pPr>
      <w:r>
        <w:rPr>
          <w:rFonts w:ascii="Arial" w:cs="Arial" w:eastAsia="Arial" w:hAnsi="Arial"/>
          <w:i/>
          <w:iCs/>
          <w:color w:val="777777"/>
          <w:sz w:val="22"/>
          <w:szCs w:val="22"/>
        </w:rPr>
        <w:t xml:space="preserve">In 2–3 sentences, state the goal of the lab. What molecule did you study, and what spectra did you compute (IR absorption and VCD)? Why is VCD useful as a technique for assigning absolute configuration?</w:t>
      </w:r>
    </w:p>
    <w:p>
      <w:pPr>
        <w:spacing w:after="100" w:before="100"/>
      </w:pPr>
      <w:r>
        <w:rPr>
          <w:rFonts w:ascii="Arial" w:cs="Arial" w:eastAsia="Arial" w:hAnsi="Arial"/>
          <w:i/>
          <w:iCs/>
          <w:color w:val="777777"/>
          <w:sz w:val="22"/>
          <w:szCs w:val="22"/>
        </w:rPr>
        <w:t xml:space="preserve">Briefly describe the key computational challenge this lab addressed: the accuracy of harmonic DFT frequencies for reproducing vibrational spectra, and the role of basis set convergence in VCD sign predictions.</w:t>
      </w:r>
    </w:p>
    <w:p>
      <w:pPr>
        <w:pStyle w:val="Heading1"/>
      </w:pPr>
      <w:r>
        <w:t xml:space="preserve">2. Computational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before="40"/>
            </w:pPr>
            <w:r>
              <w:rPr>
                <w:rFonts w:ascii="Arial" w:cs="Arial" w:eastAsia="Arial" w:hAnsi="Arial"/>
                <w:b/>
                <w:bCs/>
                <w:sz w:val="20"/>
                <w:szCs w:val="20"/>
              </w:rPr>
              <w:t xml:space="preserve">What to include</w:t>
            </w:r>
          </w:p>
          <w:p>
            <w:pPr>
              <w:spacing w:after="40" w:before="40"/>
            </w:pPr>
            <w:r>
              <w:rPr>
                <w:rFonts w:ascii="Arial" w:cs="Arial" w:eastAsia="Arial" w:hAnsi="Arial"/>
                <w:sz w:val="20"/>
                <w:szCs w:val="20"/>
              </w:rPr>
              <w:t xml:space="preserve">Describe your computational workflow in enough detail that another student could reproduce</w:t>
            </w:r>
          </w:p>
          <w:p>
            <w:pPr>
              <w:spacing w:after="40" w:before="40"/>
            </w:pPr>
            <w:r>
              <w:rPr>
                <w:rFonts w:ascii="Arial" w:cs="Arial" w:eastAsia="Arial" w:hAnsi="Arial"/>
                <w:sz w:val="20"/>
                <w:szCs w:val="20"/>
              </w:rPr>
              <w:t xml:space="preserve">your calculations. Include: software (ORCA version), DFT functional(s), basis set(s), solvent</w:t>
            </w:r>
          </w:p>
          <w:p>
            <w:pPr>
              <w:spacing w:after="40" w:before="40"/>
            </w:pPr>
            <w:r>
              <w:rPr>
                <w:rFonts w:ascii="Arial" w:cs="Arial" w:eastAsia="Arial" w:hAnsi="Arial"/>
                <w:sz w:val="20"/>
                <w:szCs w:val="20"/>
              </w:rPr>
              <w:t xml:space="preserve">model and solvent, conformer search method, Boltzmann temperature and threshold, frequency</w:t>
            </w:r>
          </w:p>
          <w:p>
            <w:pPr>
              <w:spacing w:after="40" w:before="40"/>
            </w:pPr>
            <w:r>
              <w:rPr>
                <w:rFonts w:ascii="Arial" w:cs="Arial" w:eastAsia="Arial" w:hAnsi="Arial"/>
                <w:sz w:val="20"/>
                <w:szCs w:val="20"/>
              </w:rPr>
              <w:t xml:space="preserve">calculation type (analytic Hessian with VCD), broadening parameters, and any frequency scaling</w:t>
            </w:r>
          </w:p>
          <w:p>
            <w:pPr>
              <w:spacing w:after="40" w:before="40"/>
            </w:pPr>
            <w:r>
              <w:rPr>
                <w:rFonts w:ascii="Arial" w:cs="Arial" w:eastAsia="Arial" w:hAnsi="Arial"/>
                <w:sz w:val="20"/>
                <w:szCs w:val="20"/>
              </w:rPr>
              <w:t xml:space="preserve">factor applied.</w:t>
            </w:r>
          </w:p>
        </w:tc>
      </w:tr>
    </w:tbl>
    <w:p>
      <w:pPr>
        <w:pStyle w:val="Heading2"/>
      </w:pPr>
      <w:r>
        <w:t xml:space="preserve">2.1 Geometry Optimisation</w:t>
      </w:r>
    </w:p>
    <w:p>
      <w:pPr>
        <w:spacing w:after="100" w:before="100"/>
      </w:pPr>
      <w:r>
        <w:rPr>
          <w:rFonts w:ascii="Arial" w:cs="Arial" w:eastAsia="Arial" w:hAnsi="Arial"/>
          <w:i/>
          <w:iCs/>
          <w:color w:val="777777"/>
          <w:sz w:val="22"/>
          <w:szCs w:val="22"/>
        </w:rPr>
        <w:t xml:space="preserve">State the method, basis set, and dispersion correction used for geometry optimisation (e.g., B3LYP-D3BJ/def2-SVP). Specify whether solvent was included at this stage and, if so, which solvent model.</w:t>
      </w:r>
    </w:p>
    <w:p>
      <w:pPr>
        <w:pStyle w:val="Heading2"/>
      </w:pPr>
      <w:r>
        <w:t xml:space="preserve">2.2 Conformer Search and Boltzmann Weighting</w:t>
      </w:r>
    </w:p>
    <w:p>
      <w:pPr>
        <w:spacing w:after="100" w:before="100"/>
      </w:pPr>
      <w:r>
        <w:rPr>
          <w:rFonts w:ascii="Arial" w:cs="Arial" w:eastAsia="Arial" w:hAnsi="Arial"/>
          <w:i/>
          <w:iCs/>
          <w:color w:val="777777"/>
          <w:sz w:val="22"/>
          <w:szCs w:val="22"/>
        </w:rPr>
        <w:t xml:space="preserve">For methyloxirane: note that the molecule is rigid and a single conformer was used. Explain why conformer treatment is trivial for this system. If you completed the optional phenylethan-1-ol extension: describe the conformer search method (Confab), energy cutoff, number of conformers generated, number that survived Boltzmann filtering, and the probability threshold used.</w:t>
      </w:r>
    </w:p>
    <w:p>
      <w:pPr>
        <w:pStyle w:val="Heading2"/>
      </w:pPr>
      <w:r>
        <w:t xml:space="preserve">2.3 Frequency and VCD Calculations</w:t>
      </w:r>
    </w:p>
    <w:p>
      <w:pPr>
        <w:spacing w:after="100" w:before="100"/>
      </w:pPr>
      <w:r>
        <w:rPr>
          <w:rFonts w:ascii="Arial" w:cs="Arial" w:eastAsia="Arial" w:hAnsi="Arial"/>
          <w:i/>
          <w:iCs/>
          <w:color w:val="777777"/>
          <w:sz w:val="22"/>
          <w:szCs w:val="22"/>
        </w:rPr>
        <w:t xml:space="preserve">State the functional, basis set, and solvent model used for the analytic frequency calculation. Note that ORCA’s AnFreq keyword with doVCD=true was used to compute harmonic frequencies, IR dipole strengths, and VCD rotatory strengths. If you applied a frequency scaling factor, state its value and source (e.g., NIST CCCBDB).</w:t>
      </w:r>
    </w:p>
    <w:p>
      <w:pPr>
        <w:pStyle w:val="Heading2"/>
      </w:pPr>
      <w:r>
        <w:t xml:space="preserve">2.4 Spectral Broadening</w:t>
      </w:r>
    </w:p>
    <w:p>
      <w:pPr>
        <w:spacing w:after="100" w:before="100"/>
      </w:pPr>
      <w:r>
        <w:rPr>
          <w:rFonts w:ascii="Arial" w:cs="Arial" w:eastAsia="Arial" w:hAnsi="Arial"/>
          <w:i/>
          <w:iCs/>
          <w:color w:val="777777"/>
          <w:sz w:val="22"/>
          <w:szCs w:val="22"/>
        </w:rPr>
        <w:t xml:space="preserve">State the broadening function (Gaussian) and FWHM value (in cm⁻¹). Note that broadening was applied in wavenumber space. Name the plotting tool used (or_vcd_ir_tools.py).</w:t>
      </w:r>
    </w:p>
    <w:p>
      <w:pPr>
        <w:pStyle w:val="Heading1"/>
      </w:pPr>
      <w:r>
        <w:t xml:space="preserve">3. Results</w:t>
      </w:r>
    </w:p>
    <w:p>
      <w:pPr>
        <w:pStyle w:val="Heading2"/>
      </w:pPr>
      <w:r>
        <w:t xml:space="preserve">3.1 Frequency Scaling Analysis</w:t>
      </w:r>
    </w:p>
    <w:p>
      <w:pPr>
        <w:spacing w:after="120" w:before="120"/>
      </w:pPr>
      <w:r>
        <w:rPr>
          <w:rFonts w:ascii="Arial" w:cs="Arial" w:eastAsia="Arial" w:hAnsi="Arial"/>
          <w:b/>
          <w:bCs/>
          <w:sz w:val="22"/>
          <w:szCs w:val="22"/>
        </w:rPr>
        <w:t xml:space="preserve">Table 1. Frequency scaling analysis for (R)-methyloxirane. Comparison of computed harmonic frequencies to experimental values for prominent vibrational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 Description</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Computed (cm⁻¹)</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Experimental (cm⁻¹)</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 (Expt/Calc)</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VCD 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p>
      <w:pPr>
        <w:spacing w:after="100" w:before="100"/>
      </w:pPr>
      <w:r>
        <w:rPr>
          <w:rFonts w:ascii="Arial" w:cs="Arial" w:eastAsia="Arial" w:hAnsi="Arial"/>
          <w:i/>
          <w:iCs/>
          <w:color w:val="777777"/>
          <w:sz w:val="22"/>
          <w:szCs w:val="22"/>
        </w:rPr>
        <w:t xml:space="preserve">Report the average scaling factor derived from the ratios above.</w:t>
      </w:r>
    </w:p>
    <w:p>
      <w:pPr>
        <w:pStyle w:val="Heading2"/>
      </w:pPr>
      <w:r>
        <w:t xml:space="preserve">3.2 Basis Set Convergence</w:t>
      </w:r>
    </w:p>
    <w:p>
      <w:pPr>
        <w:spacing w:after="120" w:before="120"/>
      </w:pPr>
      <w:r>
        <w:rPr>
          <w:rFonts w:ascii="Arial" w:cs="Arial" w:eastAsia="Arial" w:hAnsi="Arial"/>
          <w:b/>
          <w:bCs/>
          <w:sz w:val="22"/>
          <w:szCs w:val="22"/>
        </w:rPr>
        <w:t xml:space="preserve">Table 2. Basis set convergence of VCD band positions and signs for (R)-methyloxirane using B3LYP.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Basis Set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1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2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3 (cm⁻¹ / 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p>
      <w:pPr>
        <w:pStyle w:val="Heading2"/>
      </w:pPr>
      <w:r>
        <w:t xml:space="preserve">3.3 Functional Comparison (if completed)</w:t>
      </w:r>
    </w:p>
    <w:p>
      <w:pPr>
        <w:spacing w:after="100" w:before="100"/>
      </w:pPr>
      <w:r>
        <w:rPr>
          <w:rFonts w:ascii="Arial" w:cs="Arial" w:eastAsia="Arial" w:hAnsi="Arial"/>
          <w:i/>
          <w:iCs/>
          <w:color w:val="777777"/>
          <w:sz w:val="22"/>
          <w:szCs w:val="22"/>
        </w:rPr>
        <w:t xml:space="preserve">If you completed Exercise 3.3, add a table comparing VCD signs and frequencies across functionals. Otherwise, delete this section.</w:t>
      </w:r>
    </w:p>
    <w:p>
      <w:pPr>
        <w:spacing w:after="120" w:before="120"/>
      </w:pPr>
      <w:r>
        <w:rPr>
          <w:rFonts w:ascii="Arial" w:cs="Arial" w:eastAsia="Arial" w:hAnsi="Arial"/>
          <w:b/>
          <w:bCs/>
          <w:sz w:val="22"/>
          <w:szCs w:val="22"/>
        </w:rPr>
        <w:t xml:space="preserve">Table 3. Functional comparison of VCD band positions and signs for (R)-methyloxirane with the def2-TZVP basis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1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2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3 (cm⁻¹ / 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p>
      <w:pPr>
        <w:pStyle w:val="Heading2"/>
      </w:pPr>
      <w:r>
        <w:t xml:space="preserve">3.4 Boltzmann Population Analysis (if Extension Completed)</w:t>
      </w:r>
    </w:p>
    <w:p>
      <w:pPr>
        <w:spacing w:after="100" w:before="100"/>
      </w:pPr>
      <w:r>
        <w:rPr>
          <w:rFonts w:ascii="Arial" w:cs="Arial" w:eastAsia="Arial" w:hAnsi="Arial"/>
          <w:i/>
          <w:iCs/>
          <w:color w:val="777777"/>
          <w:sz w:val="22"/>
          <w:szCs w:val="22"/>
        </w:rPr>
        <w:t xml:space="preserve">If you completed the optional phenylethan-1-ol extension, fill in the conformer population table. Otherwise, delete this section.</w:t>
      </w:r>
    </w:p>
    <w:p>
      <w:pPr>
        <w:spacing w:after="120" w:before="120"/>
      </w:pPr>
      <w:r>
        <w:rPr>
          <w:rFonts w:ascii="Arial" w:cs="Arial" w:eastAsia="Arial" w:hAnsi="Arial"/>
          <w:b/>
          <w:bCs/>
          <w:sz w:val="22"/>
          <w:szCs w:val="22"/>
        </w:rPr>
        <w:t xml:space="preserve">Table 4. Boltzmann populations of (S)-1-phenylethan-1-ol conformers at 298.15 K after solvent-phase optimisation. Only conformers with p ≥ 0.01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Conformer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 Energy (kcal/mol)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Boltzmann Probability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Cumulative Probability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p>
      <w:pPr>
        <w:pStyle w:val="Heading2"/>
      </w:pPr>
      <w:r>
        <w:t xml:space="preserve">3.5 Computed Spectra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before="40"/>
            </w:pPr>
            <w:r>
              <w:rPr>
                <w:rFonts w:ascii="Arial" w:cs="Arial" w:eastAsia="Arial" w:hAnsi="Arial"/>
                <w:b/>
                <w:bCs/>
                <w:sz w:val="20"/>
                <w:szCs w:val="20"/>
              </w:rPr>
              <w:t xml:space="preserve">Figure guidance</w:t>
            </w:r>
          </w:p>
          <w:p>
            <w:pPr>
              <w:spacing w:after="40" w:before="40"/>
            </w:pPr>
            <w:r>
              <w:rPr>
                <w:rFonts w:ascii="Arial" w:cs="Arial" w:eastAsia="Arial" w:hAnsi="Arial"/>
                <w:sz w:val="20"/>
                <w:szCs w:val="20"/>
              </w:rPr>
              <w:t xml:space="preserve">Include at least one figure. Suggested figures:</w:t>
            </w:r>
          </w:p>
          <w:p>
            <w:pPr>
              <w:spacing w:after="40" w:before="40"/>
            </w:pPr>
            <w:r>
              <w:rPr>
                <w:rFonts w:ascii="Arial" w:cs="Arial" w:eastAsia="Arial" w:hAnsi="Arial"/>
                <w:sz w:val="20"/>
                <w:szCs w:val="20"/>
              </w:rPr>
              <w:t xml:space="preserve">• Computed VCD spectrum of (R)-methyloxirane compared to experimental data.</w:t>
            </w:r>
          </w:p>
          <w:p>
            <w:pPr>
              <w:spacing w:after="40" w:before="40"/>
            </w:pPr>
            <w:r>
              <w:rPr>
                <w:rFonts w:ascii="Arial" w:cs="Arial" w:eastAsia="Arial" w:hAnsi="Arial"/>
                <w:sz w:val="20"/>
                <w:szCs w:val="20"/>
              </w:rPr>
              <w:t xml:space="preserve">• IR spectrum with stick overlay showing individual vibrational transitions.</w:t>
            </w:r>
          </w:p>
          <w:p>
            <w:pPr>
              <w:spacing w:after="40" w:before="40"/>
            </w:pPr>
            <w:r>
              <w:rPr>
                <w:rFonts w:ascii="Arial" w:cs="Arial" w:eastAsia="Arial" w:hAnsi="Arial"/>
                <w:sz w:val="20"/>
                <w:szCs w:val="20"/>
              </w:rPr>
              <w:t xml:space="preserve">• Basis set comparison: VCD spectra from def2-SVP, def2-TZVP, and def2-TZVPP overlaid.</w:t>
            </w:r>
          </w:p>
          <w:p>
            <w:pPr>
              <w:spacing w:after="40" w:before="40"/>
            </w:pPr>
            <w:r>
              <w:rPr>
                <w:rFonts w:ascii="Arial" w:cs="Arial" w:eastAsia="Arial" w:hAnsi="Arial"/>
                <w:sz w:val="20"/>
                <w:szCs w:val="20"/>
              </w:rPr>
              <w:t xml:space="preserve">• (Optional) Single conformer VCD vs. Boltzmann-averaged VCD for phenylethan-1-ol.</w:t>
            </w:r>
          </w:p>
          <w:p>
            <w:pPr>
              <w:spacing w:after="40" w:before="40"/>
            </w:pPr>
            <w:r>
              <w:rPr>
                <w:rFonts w:ascii="Arial" w:cs="Arial" w:eastAsia="Arial" w:hAnsi="Arial"/>
                <w:sz w:val="20"/>
                <w:szCs w:val="20"/>
              </w:rPr>
              <w:t xml:space="preserve">Label all axes (wavenumber in cm⁻¹, ε or Δε in appropriate units). Include a legend.</w:t>
            </w:r>
          </w:p>
        </w:tc>
      </w:tr>
    </w:tbl>
    <w:p>
      <w:pPr>
        <w:spacing w:after="100" w:before="100"/>
      </w:pPr>
      <w:r>
        <w:rPr>
          <w:rFonts w:ascii="Arial" w:cs="Arial" w:eastAsia="Arial" w:hAnsi="Arial"/>
          <w:i/>
          <w:iCs/>
          <w:color w:val="777777"/>
          <w:sz w:val="22"/>
          <w:szCs w:val="22"/>
        </w:rPr>
        <w:t xml:space="preserve">[Insert Figure 1 here]</w:t>
      </w:r>
    </w:p>
    <w:p>
      <w:pPr>
        <w:spacing w:after="120" w:before="120"/>
      </w:pPr>
      <w:r>
        <w:rPr>
          <w:rFonts w:ascii="Arial" w:cs="Arial" w:eastAsia="Arial" w:hAnsi="Arial"/>
          <w:b/>
          <w:bCs/>
          <w:sz w:val="22"/>
          <w:szCs w:val="22"/>
        </w:rPr>
        <w:t xml:space="preserve">Figure 1. Replace this caption with a description of your primary VCD spectrum figure.</w:t>
      </w:r>
    </w:p>
    <w:p>
      <w:pPr>
        <w:spacing w:after="100" w:before="100"/>
      </w:pPr>
      <w:r>
        <w:rPr>
          <w:rFonts w:ascii="Arial" w:cs="Arial" w:eastAsia="Arial" w:hAnsi="Arial"/>
          <w:i/>
          <w:iCs/>
          <w:color w:val="777777"/>
          <w:sz w:val="22"/>
          <w:szCs w:val="22"/>
        </w:rPr>
        <w:t xml:space="preserve">[Insert Figure 2 here]</w:t>
      </w:r>
    </w:p>
    <w:p>
      <w:pPr>
        <w:spacing w:after="120" w:before="120"/>
      </w:pPr>
      <w:r>
        <w:rPr>
          <w:rFonts w:ascii="Arial" w:cs="Arial" w:eastAsia="Arial" w:hAnsi="Arial"/>
          <w:b/>
          <w:bCs/>
          <w:sz w:val="22"/>
          <w:szCs w:val="22"/>
        </w:rPr>
        <w:t xml:space="preserve">Figure 2. (Optional) Replace with caption for a second figure, or delete this placeholder.</w:t>
      </w:r>
    </w:p>
    <w:p>
      <w:pPr>
        <w:pStyle w:val="Heading1"/>
      </w:pPr>
      <w:r>
        <w:t xml:space="preserve">4. Discussion</w:t>
      </w:r>
    </w:p>
    <w:p>
      <w:pPr>
        <w:pStyle w:val="Heading2"/>
      </w:pPr>
      <w:r>
        <w:t xml:space="preserve">4.1 Analysis of Results</w:t>
      </w:r>
    </w:p>
    <w:p>
      <w:pPr>
        <w:spacing w:after="100" w:before="100"/>
      </w:pPr>
      <w:r>
        <w:rPr>
          <w:rFonts w:ascii="Arial" w:cs="Arial" w:eastAsia="Arial" w:hAnsi="Arial"/>
          <w:i/>
          <w:iCs/>
          <w:color w:val="777777"/>
          <w:sz w:val="22"/>
          <w:szCs w:val="22"/>
        </w:rPr>
        <w:t xml:space="preserve">Discuss the key trends in your data. Address the discussion questions from the handout in context rather than as separate answers. Topics to cover: How well does the harmonic approximation reproduce experimental frequencies? Is a single uniform scaling factor adequate? How sensitive are VCD signs and band positions to basis set size? If you compared functionals, which choice matters more for VCD: functional or basis set?</w:t>
      </w:r>
    </w:p>
    <w:p>
      <w:pPr>
        <w:pStyle w:val="Heading2"/>
      </w:pPr>
      <w:r>
        <w:t xml:space="preserve">4.2 Comparison to Experiment</w:t>
      </w:r>
    </w:p>
    <w:p>
      <w:pPr>
        <w:spacing w:after="100" w:before="100"/>
      </w:pPr>
      <w:r>
        <w:rPr>
          <w:rFonts w:ascii="Arial" w:cs="Arial" w:eastAsia="Arial" w:hAnsi="Arial"/>
          <w:i/>
          <w:iCs/>
          <w:color w:val="777777"/>
          <w:sz w:val="22"/>
          <w:szCs w:val="22"/>
        </w:rPr>
        <w:t xml:space="preserve">Compare your best computed VCD spectrum to the experimental reference. Focus on: (1) Sign pattern agreement in the fingerprint region—this is the primary criterion for absolute configuration assignment. (2) Band positions after scaling—what is the typical residual error? (3) Relative intensities—are the strong and weak bands in the right places? Discuss possible sources of error (harmonic approximation, basis set incompleteness, solvent model limitations).</w:t>
      </w:r>
    </w:p>
    <w:p>
      <w:pPr>
        <w:pStyle w:val="Heading2"/>
      </w:pPr>
      <w:r>
        <w:t xml:space="preserve">4.3 Method Recommendation</w:t>
      </w:r>
    </w:p>
    <w:p>
      <w:pPr>
        <w:spacing w:after="100" w:before="100"/>
      </w:pPr>
      <w:r>
        <w:rPr>
          <w:rFonts w:ascii="Arial" w:cs="Arial" w:eastAsia="Arial" w:hAnsi="Arial"/>
          <w:i/>
          <w:iCs/>
          <w:color w:val="777777"/>
          <w:sz w:val="22"/>
          <w:szCs w:val="22"/>
        </w:rPr>
        <w:t xml:space="preserve">Based on your benchmarking, what functional and basis set would you recommend for VCD calculations on molecules similar to methyloxirane? What frequency scaling factor should be applied? Is a triple-ζ basis sufficient for reliable VCD sign predictions, or is def2-TZVPP worth the extra cost? Justify your recommendation by reference to your data and to at least one literature source.</w:t>
      </w:r>
    </w:p>
    <w:p>
      <w:pPr>
        <w:pStyle w:val="Heading1"/>
      </w:pPr>
      <w:r>
        <w:t xml:space="preserve">5. Conclusion</w:t>
      </w:r>
    </w:p>
    <w:p>
      <w:pPr>
        <w:spacing w:after="100" w:before="100"/>
      </w:pPr>
      <w:r>
        <w:rPr>
          <w:rFonts w:ascii="Arial" w:cs="Arial" w:eastAsia="Arial" w:hAnsi="Arial"/>
          <w:i/>
          <w:iCs/>
          <w:color w:val="777777"/>
          <w:sz w:val="22"/>
          <w:szCs w:val="22"/>
        </w:rPr>
        <w:t xml:space="preserve">In 3–4 sentences, summarise your main findings. What did you learn about the accuracy of DFT-based VCD predictions? Does your computed spectrum support the known (R) absolute configuration of methyloxirane? What is the single most important takeaway from this lab?</w:t>
      </w:r>
    </w:p>
    <w:p>
      <w:pPr>
        <w:pStyle w:val="Heading1"/>
      </w:pPr>
      <w:r>
        <w:t xml:space="preserve">6.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before="40"/>
            </w:pPr>
            <w:r>
              <w:rPr>
                <w:rFonts w:ascii="Arial" w:cs="Arial" w:eastAsia="Arial" w:hAnsi="Arial"/>
                <w:b/>
                <w:bCs/>
                <w:sz w:val="20"/>
                <w:szCs w:val="20"/>
              </w:rPr>
              <w:t xml:space="preserve">Reference expectations</w:t>
            </w:r>
          </w:p>
          <w:p>
            <w:pPr>
              <w:spacing w:after="40" w:before="40"/>
            </w:pPr>
            <w:r>
              <w:rPr>
                <w:rFonts w:ascii="Arial" w:cs="Arial" w:eastAsia="Arial" w:hAnsi="Arial"/>
                <w:sz w:val="20"/>
                <w:szCs w:val="20"/>
              </w:rPr>
              <w:t xml:space="preserve">Cite at least 2–3 references. Use a consistent citation format (ACS style recommended).</w:t>
            </w:r>
          </w:p>
          <w:p>
            <w:pPr>
              <w:spacing w:after="40" w:before="40"/>
            </w:pPr>
            <w:r>
              <w:rPr>
                <w:rFonts w:ascii="Arial" w:cs="Arial" w:eastAsia="Arial" w:hAnsi="Arial"/>
                <w:sz w:val="20"/>
                <w:szCs w:val="20"/>
              </w:rPr>
              <w:t xml:space="preserve">Key references for this lab:</w:t>
            </w:r>
          </w:p>
          <w:p>
            <w:pPr>
              <w:spacing w:after="40" w:before="40"/>
            </w:pPr>
            <w:r>
              <w:rPr>
                <w:rFonts w:ascii="Arial" w:cs="Arial" w:eastAsia="Arial" w:hAnsi="Arial"/>
                <w:sz w:val="20"/>
                <w:szCs w:val="20"/>
              </w:rPr>
              <w:t xml:space="preserve">• Stephens, P. J.; Devlin, F. J.; Pan, J.-J. Chirality 2008, 20, 643–663.</w:t>
            </w:r>
          </w:p>
          <w:p>
            <w:pPr>
              <w:spacing w:after="40" w:before="40"/>
            </w:pPr>
            <w:r>
              <w:rPr>
                <w:rFonts w:ascii="Arial" w:cs="Arial" w:eastAsia="Arial" w:hAnsi="Arial"/>
                <w:sz w:val="20"/>
                <w:szCs w:val="20"/>
              </w:rPr>
              <w:t xml:space="preserve">• Freedman, T. B.; Cao, X.; Dukor, R. K.; Nafie, L. A. Chirality 2003, 15, 743–758.</w:t>
            </w:r>
          </w:p>
          <w:p>
            <w:pPr>
              <w:spacing w:after="40" w:before="40"/>
            </w:pPr>
            <w:r>
              <w:rPr>
                <w:rFonts w:ascii="Arial" w:cs="Arial" w:eastAsia="Arial" w:hAnsi="Arial"/>
                <w:sz w:val="20"/>
                <w:szCs w:val="20"/>
              </w:rPr>
              <w:t xml:space="preserve">• Bursch, M. et al. Angew. Chem. Int. Ed. 2023, 62, e202205735.</w:t>
            </w:r>
          </w:p>
          <w:p>
            <w:pPr>
              <w:spacing w:after="40" w:before="40"/>
            </w:pPr>
            <w:r>
              <w:rPr>
                <w:rFonts w:ascii="Arial" w:cs="Arial" w:eastAsia="Arial" w:hAnsi="Arial"/>
                <w:sz w:val="20"/>
                <w:szCs w:val="20"/>
              </w:rPr>
              <w:t xml:space="preserve">• Neese, F. WIREs Comput. Mol. Sci. 2022, 12, e1606 (ORCA reference).</w:t>
            </w:r>
          </w:p>
        </w:tc>
      </w:tr>
    </w:tbl>
    <w:p>
      <w:pPr>
        <w:spacing w:after="100" w:before="100"/>
      </w:pPr>
      <w:r>
        <w:rPr>
          <w:rFonts w:ascii="Arial" w:cs="Arial" w:eastAsia="Arial" w:hAnsi="Arial"/>
          <w:i/>
          <w:iCs/>
          <w:color w:val="777777"/>
          <w:sz w:val="22"/>
          <w:szCs w:val="22"/>
        </w:rPr>
        <w:t xml:space="preserve">[1]</w:t>
      </w:r>
    </w:p>
    <w:p>
      <w:pPr>
        <w:spacing w:after="100" w:before="100"/>
      </w:pPr>
      <w:r>
        <w:rPr>
          <w:rFonts w:ascii="Arial" w:cs="Arial" w:eastAsia="Arial" w:hAnsi="Arial"/>
          <w:i/>
          <w:iCs/>
          <w:color w:val="777777"/>
          <w:sz w:val="22"/>
          <w:szCs w:val="22"/>
        </w:rPr>
        <w:t xml:space="preserve">[2]</w:t>
      </w:r>
    </w:p>
    <w:p>
      <w:pPr>
        <w:spacing w:after="100" w:before="100"/>
      </w:pPr>
      <w:r>
        <w:rPr>
          <w:rFonts w:ascii="Arial" w:cs="Arial" w:eastAsia="Arial" w:hAnsi="Arial"/>
          <w:i/>
          <w:iCs/>
          <w:color w:val="777777"/>
          <w:sz w:val="22"/>
          <w:szCs w:val="22"/>
        </w:rPr>
        <w:t xml:space="preserve">[3]</w:t>
      </w:r>
    </w:p>
    <w:p>
      <w:r>
        <w:br w:type="page"/>
      </w:r>
    </w:p>
    <w:p>
      <w:pPr>
        <w:pStyle w:val="Heading1"/>
      </w:pPr>
      <w:r>
        <w:t xml:space="preserve">Appendix: Discussion Question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before="40"/>
            </w:pPr>
            <w:r>
              <w:rPr>
                <w:rFonts w:ascii="Arial" w:cs="Arial" w:eastAsia="Arial" w:hAnsi="Arial"/>
                <w:b/>
                <w:bCs/>
                <w:sz w:val="20"/>
                <w:szCs w:val="20"/>
              </w:rPr>
              <w:t xml:space="preserve">Note</w:t>
            </w:r>
          </w:p>
          <w:p>
            <w:pPr>
              <w:spacing w:after="40" w:before="40"/>
            </w:pPr>
            <w:r>
              <w:rPr>
                <w:rFonts w:ascii="Arial" w:cs="Arial" w:eastAsia="Arial" w:hAnsi="Arial"/>
                <w:sz w:val="20"/>
                <w:szCs w:val="20"/>
              </w:rPr>
              <w:t xml:space="preserve">Your instructor may ask you to answer the handout discussion questions here rather than</w:t>
            </w:r>
          </w:p>
          <w:p>
            <w:pPr>
              <w:spacing w:after="40" w:before="40"/>
            </w:pPr>
            <w:r>
              <w:rPr>
                <w:rFonts w:ascii="Arial" w:cs="Arial" w:eastAsia="Arial" w:hAnsi="Arial"/>
                <w:sz w:val="20"/>
                <w:szCs w:val="20"/>
              </w:rPr>
              <w:t xml:space="preserve">integrating them into the Discussion section. If so, answer each question in 3–5 sentences.</w:t>
            </w:r>
          </w:p>
          <w:p>
            <w:pPr>
              <w:spacing w:after="40" w:before="40"/>
            </w:pPr>
            <w:r>
              <w:rPr>
                <w:rFonts w:ascii="Arial" w:cs="Arial" w:eastAsia="Arial" w:hAnsi="Arial"/>
                <w:sz w:val="20"/>
                <w:szCs w:val="20"/>
              </w:rPr>
              <w:t xml:space="preserve">If your instructor prefers the integrated approach, delete this appendix.</w:t>
            </w:r>
          </w:p>
        </w:tc>
      </w:tr>
    </w:tbl>
    <w:p>
      <w:pPr>
        <w:spacing w:after="120" w:before="120"/>
      </w:pPr>
      <w:r>
        <w:rPr>
          <w:rFonts w:ascii="Arial" w:cs="Arial" w:eastAsia="Arial" w:hAnsi="Arial"/>
          <w:b/>
          <w:bCs/>
          <w:sz w:val="22"/>
          <w:szCs w:val="22"/>
        </w:rPr>
        <w:t xml:space="preserve">Q1: Why use a modest level of theory for geometry optimisation and a larger basis for frequencies?</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Q2: How many conformers did Confab produce for methyloxirane, and why? What features drive conformational diversity?</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Q3: Examine the ORCA .inp file. What keywords control the frequency calculation and how does it differ from a geometry optimisation?</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Q4: Why does VCD provide more resolved bands than ECD? What are the advantages and disadvantages?</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Q5: Is a single uniform scaling factor adequate for all frequency regions? What does the harmonic approximation neglect?</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Q6: Do any VCD band signs change between basis sets? What does this tell you about basis set convergence?</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Q7 (Optional): Is VCD more or less sensitive to functional choice than to basis set choice?</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Q8: Does your computed VCD support the (R) absolute configuration? Which spectral region is most diagnostic?</w:t>
      </w:r>
    </w:p>
    <w:p>
      <w:pPr>
        <w:spacing w:after="100" w:before="100"/>
      </w:pPr>
      <w:r>
        <w:rPr>
          <w:rFonts w:ascii="Arial" w:cs="Arial" w:eastAsia="Arial" w:hAnsi="Arial"/>
          <w:i/>
          <w:iCs/>
          <w:color w:val="777777"/>
          <w:sz w:val="22"/>
          <w:szCs w:val="22"/>
        </w:rPr>
        <w:t xml:space="preserve">Your answer here.</w:t>
      </w:r>
    </w:p>
    <w:p>
      <w:pPr>
        <w:spacing w:after="120" w:before="120"/>
      </w:pPr>
      <w:r>
        <w:rPr>
          <w:rFonts w:ascii="Arial" w:cs="Arial" w:eastAsia="Arial" w:hAnsi="Arial"/>
          <w:b/>
          <w:bCs/>
          <w:sz w:val="22"/>
          <w:szCs w:val="22"/>
        </w:rPr>
        <w:t xml:space="preserve">Q9 (Optional, Extension): How did Boltzmann averaging affect the VCD of phenylethan-1-ol?</w:t>
      </w:r>
    </w:p>
    <w:p>
      <w:pPr>
        <w:spacing w:after="100" w:before="100"/>
      </w:pPr>
      <w:r>
        <w:rPr>
          <w:rFonts w:ascii="Arial" w:cs="Arial" w:eastAsia="Arial" w:hAnsi="Arial"/>
          <w:i/>
          <w:iCs/>
          <w:color w:val="777777"/>
          <w:sz w:val="22"/>
          <w:szCs w:val="22"/>
        </w:rPr>
        <w:t xml:space="preserve">Your answer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2026-02-27T17:33:04.801Z</dcterms:created>
  <dcterms:modified xsi:type="dcterms:W3CDTF">2026-02-27T17:33:04.802Z</dcterms:modified>
</cp:coreProperties>
</file>

<file path=docProps/custom.xml><?xml version="1.0" encoding="utf-8"?>
<Properties xmlns="http://schemas.openxmlformats.org/officeDocument/2006/custom-properties" xmlns:vt="http://schemas.openxmlformats.org/officeDocument/2006/docPropsVTypes"/>
</file>