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color w:val="666666"/>
          <w:sz w:val="24"/>
          <w:szCs w:val="24"/>
        </w:rPr>
        <w:t xml:space="preserve">Computational Electronic Spectroscopy Module</w:t>
      </w:r>
    </w:p>
    <w:p>
      <w:pPr>
        <w:spacing w:after="60"/>
        <w:jc w:val="center"/>
      </w:pPr>
      <w:r>
        <w:rPr>
          <w:rFonts w:ascii="Arial" w:cs="Arial" w:eastAsia="Arial" w:hAnsi="Arial"/>
          <w:b/>
          <w:bCs/>
          <w:color w:val="1F3864"/>
          <w:sz w:val="36"/>
          <w:szCs w:val="36"/>
        </w:rPr>
        <w:t xml:space="preserve">Session 1: UV-Vis Benchmarking with a Rigid Chromophore</w:t>
      </w:r>
    </w:p>
    <w:p>
      <w:pPr>
        <w:spacing w:after="200"/>
        <w:jc w:val="center"/>
      </w:pPr>
      <w:r>
        <w:rPr>
          <w:rFonts w:ascii="Arial" w:cs="Arial" w:eastAsia="Arial" w:hAnsi="Arial"/>
          <w:color w:val="2E75B6"/>
          <w:sz w:val="26"/>
          <w:szCs w:val="26"/>
        </w:rPr>
        <w:t xml:space="preserve">Student Handout</w:t>
      </w:r>
    </w:p>
    <w:p>
      <w:pPr>
        <w:spacing w:after="200"/>
      </w:pPr>
    </w:p>
    <w:p>
      <w:pPr>
        <w:spacing w:after="400"/>
        <w:jc w:val="center"/>
      </w:pPr>
      <w:r>
        <w:rPr>
          <w:rFonts w:ascii="Arial" w:cs="Arial" w:eastAsia="Arial" w:hAnsi="Arial"/>
          <w:i/>
          <w:iCs/>
          <w:sz w:val="20"/>
          <w:szCs w:val="20"/>
        </w:rPr>
        <w:t xml:space="preserve">Estimated duration: 3 hours</w:t>
      </w:r>
    </w:p>
    <w:p>
      <w:r>
        <w:br/>
      </w:r>
    </w:p>
    <w:p>
      <w:pPr>
        <w:pStyle w:val="Heading1"/>
        <w:spacing w:before="360" w:after="160"/>
      </w:pPr>
      <w:r>
        <w:rPr>
          <w:rFonts w:ascii="Arial" w:cs="Arial" w:eastAsia="Arial" w:hAnsi="Arial"/>
          <w:b/>
          <w:bCs/>
          <w:sz w:val="28"/>
          <w:szCs w:val="28"/>
        </w:rPr>
        <w:t xml:space="preserve">Overview</w:t>
      </w:r>
    </w:p>
    <w:p>
      <w:pPr>
        <w:spacing w:after="120"/>
      </w:pPr>
      <w:r>
        <w:rPr>
          <w:rFonts w:ascii="Arial" w:cs="Arial" w:eastAsia="Arial" w:hAnsi="Arial"/>
          <w:sz w:val="20"/>
          <w:szCs w:val="20"/>
        </w:rPr>
        <w:t xml:space="preserve">In this session you will use time-dependent density functional theory (TDDFT) to compute the UV-Vis absorption spectrum of para-nitroaniline (PNA), a small aromatic molecule with a well-characterized intramolecular charge-transfer (ICT) absorption band. PNA is one of the most heavily benchmarked molecules in the TDDFT literature (Laurent &amp; Jacquemin, 2013), making it an ideal test case for learning how methodological choices affect computed excitation energies and intensities.</w:t>
      </w:r>
    </w:p>
    <w:p>
      <w:pPr>
        <w:spacing w:after="120"/>
      </w:pPr>
      <w:r>
        <w:rPr>
          <w:rFonts w:ascii="Arial" w:cs="Arial" w:eastAsia="Arial" w:hAnsi="Arial"/>
          <w:sz w:val="20"/>
          <w:szCs w:val="20"/>
        </w:rPr>
        <w:t xml:space="preserve">Because PNA is structurally rigid, conformational averaging is unnecessary, and you can focus entirely on the electronic structure dimension: how the choice of density functional, basis set, and solvent model influences the position and intensity of the absorption maximum. You will run the complete six-stage workflow, compare your computed spectrum to published experimental data, and justify your final protocol choices by reference to the benchmarking literature.</w:t>
      </w:r>
    </w:p>
    <w:p>
      <w:pPr>
        <w:pStyle w:val="Heading2"/>
        <w:spacing w:before="280" w:after="120"/>
      </w:pPr>
      <w:r>
        <w:rPr>
          <w:rFonts w:ascii="Arial" w:cs="Arial" w:eastAsia="Arial" w:hAnsi="Arial"/>
          <w:b/>
          <w:bCs/>
          <w:sz w:val="24"/>
          <w:szCs w:val="24"/>
        </w:rPr>
        <w:t xml:space="preserve">Learning Objectives</w:t>
      </w:r>
    </w:p>
    <w:p>
      <w:pPr>
        <w:spacing w:after="120"/>
      </w:pPr>
      <w:r>
        <w:rPr>
          <w:rFonts w:ascii="Arial" w:cs="Arial" w:eastAsia="Arial" w:hAnsi="Arial"/>
          <w:i/>
          <w:iCs/>
          <w:sz w:val="20"/>
          <w:szCs w:val="20"/>
        </w:rPr>
        <w:t xml:space="preserve">By the end of this session, you should be able to:</w:t>
      </w:r>
    </w:p>
    <w:p>
      <w:pPr>
        <w:pStyle w:val="ListParagraph"/>
        <w:numPr>
          <w:ilvl w:val="0"/>
          <w:numId w:val="2"/>
        </w:numPr>
        <w:spacing w:after="60"/>
      </w:pPr>
      <w:r>
        <w:rPr>
          <w:rFonts w:ascii="Arial" w:cs="Arial" w:eastAsia="Arial" w:hAnsi="Arial"/>
          <w:sz w:val="20"/>
          <w:szCs w:val="20"/>
        </w:rPr>
        <w:t xml:space="preserve">Navigate the workflow scripts and understand the role of each stage in producing a simulated UV-Vis spectrum.</w:t>
      </w:r>
    </w:p>
    <w:p>
      <w:pPr>
        <w:pStyle w:val="ListParagraph"/>
        <w:numPr>
          <w:ilvl w:val="0"/>
          <w:numId w:val="2"/>
        </w:numPr>
        <w:spacing w:after="60"/>
      </w:pPr>
      <w:r>
        <w:rPr>
          <w:rFonts w:ascii="Arial" w:cs="Arial" w:eastAsia="Arial" w:hAnsi="Arial"/>
          <w:sz w:val="20"/>
          <w:szCs w:val="20"/>
        </w:rPr>
        <w:t xml:space="preserve">Explain why the choice of density functional matters for charge-transfer excitations, citing benchmarking literature.</w:t>
      </w:r>
    </w:p>
    <w:p>
      <w:pPr>
        <w:pStyle w:val="ListParagraph"/>
        <w:numPr>
          <w:ilvl w:val="0"/>
          <w:numId w:val="2"/>
        </w:numPr>
        <w:spacing w:after="60"/>
      </w:pPr>
      <w:r>
        <w:rPr>
          <w:rFonts w:ascii="Arial" w:cs="Arial" w:eastAsia="Arial" w:hAnsi="Arial"/>
          <w:sz w:val="20"/>
          <w:szCs w:val="20"/>
        </w:rPr>
        <w:t xml:space="preserve">Evaluate the effect of basis set size and implicit solvation on computed excitation energies.</w:t>
      </w:r>
    </w:p>
    <w:p>
      <w:pPr>
        <w:pStyle w:val="ListParagraph"/>
        <w:numPr>
          <w:ilvl w:val="0"/>
          <w:numId w:val="2"/>
        </w:numPr>
        <w:spacing w:after="60"/>
      </w:pPr>
      <w:r>
        <w:rPr>
          <w:rFonts w:ascii="Arial" w:cs="Arial" w:eastAsia="Arial" w:hAnsi="Arial"/>
          <w:sz w:val="20"/>
          <w:szCs w:val="20"/>
        </w:rPr>
        <w:t xml:space="preserve">Produce a publication-quality simulated UV-Vis spectrum and critically compare it to experimental data.</w:t>
      </w:r>
    </w:p>
    <w:p>
      <w:pPr>
        <w:pStyle w:val="Heading2"/>
        <w:spacing w:before="280" w:after="120"/>
      </w:pPr>
      <w:r>
        <w:rPr>
          <w:rFonts w:ascii="Arial" w:cs="Arial" w:eastAsia="Arial" w:hAnsi="Arial"/>
          <w:b/>
          <w:bCs/>
          <w:sz w:val="24"/>
          <w:szCs w:val="24"/>
        </w:rPr>
        <w:t xml:space="preserve">Background: Why PNA?</w:t>
      </w:r>
    </w:p>
    <w:p>
      <w:pPr>
        <w:spacing w:after="120"/>
      </w:pPr>
      <w:r>
        <w:rPr>
          <w:rFonts w:ascii="Arial" w:cs="Arial" w:eastAsia="Arial" w:hAnsi="Arial"/>
          <w:sz w:val="20"/>
          <w:szCs w:val="20"/>
        </w:rPr>
        <w:t xml:space="preserve">Para-nitroaniline has a strong absorption band near 370 nm (in water) arising from an intramolecular charge-transfer transition from the electron-donating amino group (-NH2) to the electron-accepting nitro group (-NO2). This ICT character makes the excitation energy highly sensitive to the fraction of exact Hartree-Fock exchange in the density functional. Local and standard hybrid functionals (such as PBE or B3LYP, with 0% and 20% HF exchange respectively) systematically underestimate CT excitation energies, while range-separated hybrids (such as CAM-B3LYP or ωB97X-D3, which increase the HF exchange fraction at long range) recover these energies more accurately. This is well documented in the Laurent &amp; Jacquemin (2013) benchmark review.</w:t>
      </w:r>
    </w:p>
    <w:p>
      <w:pPr>
        <w:spacing w:after="120"/>
      </w:pPr>
      <w:r>
        <w:rPr>
          <w:rFonts w:ascii="Arial" w:cs="Arial" w:eastAsia="Arial" w:hAnsi="Arial"/>
          <w:sz w:val="20"/>
          <w:szCs w:val="20"/>
        </w:rPr>
        <w:t xml:space="preserve">The experimental UV-Vis spectrum of PNA in water shows a broad absorption maximum near 370 nm. In less polar solvents (e.g., cyclohexane), this band shifts to shorter wavelengths (~310 nm), demonstrating the strong solvatochromic character of the ICT transition. These experimental references will be your targets for comparison.</w:t>
      </w:r>
    </w:p>
    <w:p>
      <w:pPr>
        <w:pStyle w:val="Heading1"/>
        <w:spacing w:before="360" w:after="160"/>
      </w:pPr>
      <w:r>
        <w:rPr>
          <w:rFonts w:ascii="Arial" w:cs="Arial" w:eastAsia="Arial" w:hAnsi="Arial"/>
          <w:b/>
          <w:bCs/>
          <w:sz w:val="28"/>
          <w:szCs w:val="28"/>
        </w:rPr>
        <w:t xml:space="preserve">Part 1: Setting Up Your Working Directory</w:t>
      </w:r>
    </w:p>
    <w:p>
      <w:pPr>
        <w:pStyle w:val="Heading2"/>
        <w:spacing w:before="280" w:after="120"/>
      </w:pPr>
      <w:r>
        <w:rPr>
          <w:rFonts w:ascii="Arial" w:cs="Arial" w:eastAsia="Arial" w:hAnsi="Arial"/>
          <w:b/>
          <w:bCs/>
          <w:sz w:val="24"/>
          <w:szCs w:val="24"/>
        </w:rPr>
        <w:t xml:space="preserve">Step 1.1: Create the project directory structure</w:t>
      </w:r>
    </w:p>
    <w:p>
      <w:pPr>
        <w:spacing w:after="120"/>
      </w:pPr>
      <w:r>
        <w:rPr>
          <w:rFonts w:ascii="Arial" w:cs="Arial" w:eastAsia="Arial" w:hAnsi="Arial"/>
          <w:sz w:val="20"/>
          <w:szCs w:val="20"/>
        </w:rPr>
        <w:t xml:space="preserve">Open a terminal and create a working directory for this session. All scripts expect to be run from the top-level project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mkdir -p session1_uvvis</w:t>
            </w:r>
          </w:p>
          <w:p>
            <w:pPr>
              <w:spacing w:after="20"/>
            </w:pPr>
            <w:r>
              <w:rPr>
                <w:rFonts w:ascii="Courier New" w:cs="Courier New" w:eastAsia="Courier New" w:hAnsi="Courier New"/>
                <w:sz w:val="17"/>
                <w:szCs w:val="17"/>
              </w:rPr>
              <w:t xml:space="preserve">cd session1_uvvis</w:t>
            </w:r>
          </w:p>
          <w:p>
            <w:pPr>
              <w:spacing w:after="20"/>
            </w:pPr>
            <w:r>
              <w:rPr>
                <w:rFonts w:ascii="Courier New" w:cs="Courier New" w:eastAsia="Courier New" w:hAnsi="Courier New"/>
                <w:sz w:val="17"/>
                <w:szCs w:val="17"/>
              </w:rPr>
              <w:t xml:space="preserve">mkdir -p pre_xyz</w:t>
            </w:r>
          </w:p>
        </w:tc>
      </w:tr>
    </w:tbl>
    <w:p>
      <w:pPr>
        <w:spacing w:after="120"/>
      </w:pPr>
      <w:r>
        <w:rPr>
          <w:rFonts w:ascii="Arial" w:cs="Arial" w:eastAsia="Arial" w:hAnsi="Arial"/>
          <w:sz w:val="20"/>
          <w:szCs w:val="20"/>
        </w:rPr>
        <w:t xml:space="preserve">Copy the workflow scripts (Scripts 1-8) into this directory, or ensure they are in your PATH. Verify that the scripts are executable: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chmod +x 1-orca-init-opt.sh 2-orca-conf-search.sh 4-orca-solvent-opt.sh \</w:t>
            </w:r>
          </w:p>
          <w:p>
            <w:pPr>
              <w:spacing w:after="20"/>
            </w:pPr>
            <w:r>
              <w:rPr>
                <w:rFonts w:ascii="Courier New" w:cs="Courier New" w:eastAsia="Courier New" w:hAnsi="Courier New"/>
                <w:sz w:val="17"/>
                <w:szCs w:val="17"/>
              </w:rPr>
              <w:t xml:space="preserve">         5-orca-boltzmann-weight.sh 6-orca-ecd.sh \</w:t>
            </w:r>
          </w:p>
          <w:p>
            <w:pPr>
              <w:spacing w:after="20"/>
            </w:pPr>
            <w:r>
              <w:rPr>
                <w:rFonts w:ascii="Courier New" w:cs="Courier New" w:eastAsia="Courier New" w:hAnsi="Courier New"/>
                <w:sz w:val="17"/>
                <w:szCs w:val="17"/>
              </w:rPr>
              <w:t xml:space="preserve">         or_ecd_uvvis_tools.py or_vcd_ir_tools.py</w:t>
            </w:r>
          </w:p>
        </w:tc>
      </w:tr>
    </w:tbl>
    <w:p>
      <w:pPr>
        <w:pStyle w:val="Heading2"/>
        <w:spacing w:before="280" w:after="120"/>
      </w:pPr>
      <w:r>
        <w:rPr>
          <w:rFonts w:ascii="Arial" w:cs="Arial" w:eastAsia="Arial" w:hAnsi="Arial"/>
          <w:b/>
          <w:bCs/>
          <w:sz w:val="24"/>
          <w:szCs w:val="24"/>
        </w:rPr>
        <w:t xml:space="preserve">Step 1.2: Create the starting geometry</w:t>
      </w:r>
    </w:p>
    <w:p>
      <w:pPr>
        <w:spacing w:after="120"/>
      </w:pPr>
      <w:r>
        <w:rPr>
          <w:rFonts w:ascii="Arial" w:cs="Arial" w:eastAsia="Arial" w:hAnsi="Arial"/>
          <w:sz w:val="20"/>
          <w:szCs w:val="20"/>
        </w:rPr>
        <w:t xml:space="preserve">Create the PNA starting geometry file. The XYZ format requires the atom count on line 1, a comment line on line 2 (where we encode the charge and multiplicity), and Cartesian coordinates starting on line 3. PNA is a neutral closed-shell molecule, so charge=0 and mult=1.</w:t>
      </w:r>
    </w:p>
    <w:p>
      <w:pPr>
        <w:spacing w:after="120"/>
      </w:pPr>
      <w:r>
        <w:rPr>
          <w:rFonts w:ascii="Arial" w:cs="Arial" w:eastAsia="Arial" w:hAnsi="Arial"/>
          <w:sz w:val="20"/>
          <w:szCs w:val="20"/>
        </w:rPr>
        <w:t xml:space="preserve">You can obtain initial coordinates by drawing PNA in a molecular editor (e.g., Avogadro) and exporting as XYZ, or by downloading a structure from a database such as PubChem. Save the file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pre_xyz/pna.xyz</w:t>
            </w:r>
          </w:p>
        </w:tc>
      </w:tr>
    </w:tbl>
    <w:p>
      <w:pPr>
        <w:spacing w:after="120"/>
      </w:pPr>
      <w:r>
        <w:rPr>
          <w:rFonts w:ascii="Arial" w:cs="Arial" w:eastAsia="Arial" w:hAnsi="Arial"/>
          <w:sz w:val="20"/>
          <w:szCs w:val="20"/>
        </w:rPr>
        <w:t xml:space="preserve">The comment line (line 2) must include the charge and multiplicity tokens that the scripts parse: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14</w:t>
            </w:r>
          </w:p>
          <w:p>
            <w:pPr>
              <w:spacing w:after="20"/>
            </w:pPr>
            <w:r>
              <w:rPr>
                <w:rFonts w:ascii="Courier New" w:cs="Courier New" w:eastAsia="Courier New" w:hAnsi="Courier New"/>
                <w:sz w:val="17"/>
                <w:szCs w:val="17"/>
              </w:rPr>
              <w:t xml:space="preserve">charge=0 mult=1</w:t>
            </w:r>
          </w:p>
          <w:p>
            <w:pPr>
              <w:spacing w:after="20"/>
            </w:pPr>
            <w:r>
              <w:rPr>
                <w:rFonts w:ascii="Courier New" w:cs="Courier New" w:eastAsia="Courier New" w:hAnsi="Courier New"/>
                <w:sz w:val="17"/>
                <w:szCs w:val="17"/>
              </w:rPr>
              <w:t xml:space="preserve">C    0.000000    0.000000    0.000000</w:t>
            </w:r>
          </w:p>
          <w:p>
            <w:pPr>
              <w:spacing w:after="20"/>
            </w:pPr>
            <w:r>
              <w:rPr>
                <w:rFonts w:ascii="Courier New" w:cs="Courier New" w:eastAsia="Courier New" w:hAnsi="Courier New"/>
                <w:sz w:val="17"/>
                <w:szCs w:val="17"/>
              </w:rPr>
              <w:t xml:space="preserve">C    1.395000    0.000000    0.000000</w:t>
            </w:r>
          </w:p>
          <w:p>
            <w:pPr>
              <w:spacing w:after="20"/>
            </w:pPr>
            <w:r>
              <w:rPr>
                <w:rFonts w:ascii="Courier New" w:cs="Courier New" w:eastAsia="Courier New" w:hAnsi="Courier New"/>
                <w:sz w:val="17"/>
                <w:szCs w:val="17"/>
              </w:rPr>
              <w:t xml:space="preserve">... (remaining atoms)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160"/>
            </w:tcMar>
          </w:tcPr>
          <w:p>
            <w:pPr>
              <w:spacing w:after="60"/>
            </w:pPr>
            <w:r>
              <w:rPr>
                <w:rFonts w:ascii="Arial" w:cs="Arial" w:eastAsia="Arial" w:hAnsi="Arial"/>
                <w:b/>
                <w:bCs/>
                <w:sz w:val="20"/>
                <w:szCs w:val="20"/>
              </w:rPr>
              <w:t xml:space="preserve">Important: XYZ format convention</w:t>
            </w:r>
          </w:p>
          <w:p>
            <w:pPr>
              <w:spacing w:after="40"/>
            </w:pPr>
            <w:r>
              <w:rPr>
                <w:rFonts w:ascii="Arial" w:cs="Arial" w:eastAsia="Arial" w:hAnsi="Arial"/>
                <w:sz w:val="19"/>
                <w:szCs w:val="19"/>
              </w:rPr>
              <w:t xml:space="preserve">The scripts read charge and multiplicity from the second line of the XYZ file.</w:t>
            </w:r>
          </w:p>
          <w:p>
            <w:pPr>
              <w:spacing w:after="40"/>
            </w:pPr>
            <w:r>
              <w:rPr>
                <w:rFonts w:ascii="Arial" w:cs="Arial" w:eastAsia="Arial" w:hAnsi="Arial"/>
                <w:sz w:val="19"/>
                <w:szCs w:val="19"/>
              </w:rPr>
              <w:t xml:space="preserve">The format is: charge=&lt;integer&gt; mult=&lt;integer&gt;</w:t>
            </w:r>
          </w:p>
          <w:p>
            <w:pPr>
              <w:spacing w:after="40"/>
            </w:pPr>
            <w:r>
              <w:rPr>
                <w:rFonts w:ascii="Arial" w:cs="Arial" w:eastAsia="Arial" w:hAnsi="Arial"/>
                <w:sz w:val="19"/>
                <w:szCs w:val="19"/>
              </w:rPr>
              <w:t xml:space="preserve">If these tokens are absent, the scripts default to charge=0, mult=1.</w:t>
            </w:r>
          </w:p>
          <w:p>
            <w:pPr>
              <w:spacing w:after="40"/>
            </w:pPr>
            <w:r>
              <w:rPr>
                <w:rFonts w:ascii="Arial" w:cs="Arial" w:eastAsia="Arial" w:hAnsi="Arial"/>
                <w:sz w:val="19"/>
                <w:szCs w:val="19"/>
              </w:rPr>
              <w:t xml:space="preserve">This convention is used by Stages 1, 4, and 6.</w:t>
            </w:r>
          </w:p>
        </w:tc>
      </w:tr>
    </w:tbl>
    <w:p>
      <w:pPr>
        <w:pStyle w:val="Heading2"/>
        <w:spacing w:before="280" w:after="120"/>
      </w:pPr>
      <w:r>
        <w:rPr>
          <w:rFonts w:ascii="Arial" w:cs="Arial" w:eastAsia="Arial" w:hAnsi="Arial"/>
          <w:b/>
          <w:bCs/>
          <w:sz w:val="24"/>
          <w:szCs w:val="24"/>
        </w:rPr>
        <w:t xml:space="preserve">Step 1.3: Create the molecule list file</w:t>
      </w:r>
    </w:p>
    <w:p>
      <w:pPr>
        <w:spacing w:after="120"/>
      </w:pPr>
      <w:r>
        <w:rPr>
          <w:rFonts w:ascii="Arial" w:cs="Arial" w:eastAsia="Arial" w:hAnsi="Arial"/>
          <w:sz w:val="20"/>
          <w:szCs w:val="20"/>
        </w:rPr>
        <w:t xml:space="preserve">The workflow scripts all accept a plain-text molecule list as their final argument. Each line contains one molecule name (matching the base of the XYZ filename in pre_xyz/ without the .xyz extension). Lines starting with # are ignored. Alternatively, you may pass the molecule name directly on the command line in place of the list file; for example, passing pna instead of molecules.txt will process pre_xyz/pna.xyz.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 molecules.txt</w:t>
            </w:r>
          </w:p>
          <w:p>
            <w:pPr>
              <w:spacing w:after="20"/>
            </w:pPr>
            <w:r>
              <w:rPr>
                <w:rFonts w:ascii="Courier New" w:cs="Courier New" w:eastAsia="Courier New" w:hAnsi="Courier New"/>
                <w:sz w:val="17"/>
                <w:szCs w:val="17"/>
              </w:rPr>
              <w:t xml:space="preserve">pna</w:t>
            </w:r>
          </w:p>
        </w:tc>
      </w:tr>
    </w:tbl>
    <w:p>
      <w:pPr>
        <w:spacing w:after="120"/>
      </w:pPr>
      <w:r>
        <w:rPr>
          <w:rFonts w:ascii="Arial" w:cs="Arial" w:eastAsia="Arial" w:hAnsi="Arial"/>
          <w:sz w:val="20"/>
          <w:szCs w:val="20"/>
        </w:rPr>
        <w:t xml:space="preserve">Save this as molecules.txt in your working directory.</w:t>
      </w:r>
    </w:p>
    <w:p>
      <w:pPr>
        <w:pStyle w:val="Heading1"/>
        <w:spacing w:before="360" w:after="160"/>
      </w:pPr>
      <w:r>
        <w:rPr>
          <w:rFonts w:ascii="Arial" w:cs="Arial" w:eastAsia="Arial" w:hAnsi="Arial"/>
          <w:b/>
          <w:bCs/>
          <w:sz w:val="28"/>
          <w:szCs w:val="28"/>
        </w:rPr>
        <w:t xml:space="preserve">Part 2: Baseline Run - The Complete Pipeline</w:t>
      </w:r>
    </w:p>
    <w:p>
      <w:pPr>
        <w:spacing w:after="120"/>
      </w:pPr>
      <w:r>
        <w:rPr>
          <w:rFonts w:ascii="Arial" w:cs="Arial" w:eastAsia="Arial" w:hAnsi="Arial"/>
          <w:sz w:val="20"/>
          <w:szCs w:val="20"/>
        </w:rPr>
        <w:t xml:space="preserve">You will now run PNA through the full eight-stage workflow using a reasonable set of default parameters. This baseline run establishes a reference spectrum that you will compare against experiments and alternative method choices in Part 3.</w:t>
      </w:r>
    </w:p>
    <w:p>
      <w:pPr>
        <w:pStyle w:val="Heading2"/>
        <w:spacing w:before="280" w:after="120"/>
      </w:pPr>
      <w:r>
        <w:rPr>
          <w:rFonts w:ascii="Arial" w:cs="Arial" w:eastAsia="Arial" w:hAnsi="Arial"/>
          <w:b/>
          <w:bCs/>
          <w:sz w:val="24"/>
          <w:szCs w:val="24"/>
        </w:rPr>
        <w:t xml:space="preserve">Stage 1: Gas-Phase Geometry Optimization</w:t>
      </w:r>
    </w:p>
    <w:p>
      <w:pPr>
        <w:spacing w:after="120"/>
      </w:pPr>
      <w:r>
        <w:rPr>
          <w:rFonts w:ascii="Arial" w:cs="Arial" w:eastAsia="Arial" w:hAnsi="Arial"/>
          <w:sz w:val="20"/>
          <w:szCs w:val="20"/>
        </w:rPr>
        <w:t xml:space="preserve">The first script optimizes the molecular geometry in vacuum (no solvent). This produces a minimum-energy structure that serves as the starting point for conformer generation and solvent-phase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./1-orca-init-opt.sh \</w:t>
            </w:r>
          </w:p>
          <w:p>
            <w:pPr>
              <w:spacing w:after="20"/>
            </w:pPr>
            <w:r>
              <w:rPr>
                <w:rFonts w:ascii="Courier New" w:cs="Courier New" w:eastAsia="Courier New" w:hAnsi="Courier New"/>
                <w:sz w:val="17"/>
                <w:szCs w:val="17"/>
              </w:rPr>
              <w:t xml:space="preserve">    --method B3LYP \</w:t>
            </w:r>
          </w:p>
          <w:p>
            <w:pPr>
              <w:spacing w:after="20"/>
            </w:pPr>
            <w:r>
              <w:rPr>
                <w:rFonts w:ascii="Courier New" w:cs="Courier New" w:eastAsia="Courier New" w:hAnsi="Courier New"/>
                <w:sz w:val="17"/>
                <w:szCs w:val="17"/>
              </w:rPr>
              <w:t xml:space="preserve">    --disp D3BJ \</w:t>
            </w:r>
          </w:p>
          <w:p>
            <w:pPr>
              <w:spacing w:after="20"/>
            </w:pPr>
            <w:r>
              <w:rPr>
                <w:rFonts w:ascii="Courier New" w:cs="Courier New" w:eastAsia="Courier New" w:hAnsi="Courier New"/>
                <w:sz w:val="17"/>
                <w:szCs w:val="17"/>
              </w:rPr>
              <w:t xml:space="preserve">    --basis def2-SVP \</w:t>
            </w:r>
          </w:p>
          <w:p>
            <w:pPr>
              <w:spacing w:after="20"/>
            </w:pPr>
            <w:r>
              <w:rPr>
                <w:rFonts w:ascii="Courier New" w:cs="Courier New" w:eastAsia="Courier New" w:hAnsi="Courier New"/>
                <w:sz w:val="17"/>
                <w:szCs w:val="17"/>
              </w:rPr>
              <w:t xml:space="preserve">    --cpus 4 \</w:t>
            </w:r>
          </w:p>
          <w:p>
            <w:pPr>
              <w:spacing w:after="20"/>
            </w:pPr>
            <w:r>
              <w:rPr>
                <w:rFonts w:ascii="Courier New" w:cs="Courier New" w:eastAsia="Courier New" w:hAnsi="Courier New"/>
                <w:sz w:val="17"/>
                <w:szCs w:val="17"/>
              </w:rPr>
              <w:t xml:space="preserve">    molecules.txt</w:t>
            </w:r>
          </w:p>
        </w:tc>
      </w:tr>
    </w:tbl>
    <w:p>
      <w:pPr>
        <w:spacing w:after="120"/>
      </w:pPr>
      <w:r>
        <w:rPr>
          <w:rFonts w:ascii="Arial" w:cs="Arial" w:eastAsia="Arial" w:hAnsi="Arial"/>
          <w:sz w:val="20"/>
          <w:szCs w:val="20"/>
        </w:rPr>
        <w:t xml:space="preserve">This runs a B3LYP/def2-SVP optimization with Grimme's D3BJ dispersion correction. The optimized geometry will be written to pna/01_gas_opt/pna.xyz, along with the full ORCA output in pna/01_gas_opt/pna.log.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80"/>
              <w:left w:type="dxa" w:w="160"/>
              <w:bottom w:type="dxa" w:w="80"/>
              <w:right w:type="dxa" w:w="160"/>
            </w:tcMar>
          </w:tcPr>
          <w:p>
            <w:pPr>
              <w:spacing w:after="60"/>
            </w:pPr>
            <w:r>
              <w:rPr>
                <w:rFonts w:ascii="Arial" w:cs="Arial" w:eastAsia="Arial" w:hAnsi="Arial"/>
                <w:b/>
                <w:bCs/>
                <w:sz w:val="20"/>
                <w:szCs w:val="20"/>
              </w:rPr>
              <w:t xml:space="preserve">What to check</w:t>
            </w:r>
          </w:p>
          <w:p>
            <w:pPr>
              <w:spacing w:after="40"/>
            </w:pPr>
            <w:r>
              <w:rPr>
                <w:rFonts w:ascii="Arial" w:cs="Arial" w:eastAsia="Arial" w:hAnsi="Arial"/>
                <w:sz w:val="19"/>
                <w:szCs w:val="19"/>
              </w:rPr>
              <w:t xml:space="preserve">Open pna/01_gas_opt/pna.log in a text editor and search for "HURRAY" or</w:t>
            </w:r>
          </w:p>
          <w:p>
            <w:pPr>
              <w:spacing w:after="40"/>
            </w:pPr>
            <w:r>
              <w:rPr>
                <w:rFonts w:ascii="Arial" w:cs="Arial" w:eastAsia="Arial" w:hAnsi="Arial"/>
                <w:sz w:val="19"/>
                <w:szCs w:val="19"/>
              </w:rPr>
              <w:t xml:space="preserve">"THE OPTIMIZATION HAS CONVERGED" to confirm the geometry converged.</w:t>
            </w:r>
          </w:p>
          <w:p>
            <w:pPr>
              <w:spacing w:after="40"/>
            </w:pPr>
            <w:r>
              <w:rPr>
                <w:rFonts w:ascii="Arial" w:cs="Arial" w:eastAsia="Arial" w:hAnsi="Arial"/>
                <w:sz w:val="19"/>
                <w:szCs w:val="19"/>
              </w:rPr>
              <w:t xml:space="preserve">Check the final energy: search for "FINAL SINGLE POINT ENERGY".</w:t>
            </w:r>
          </w:p>
          <w:p>
            <w:pPr>
              <w:spacing w:after="40"/>
            </w:pPr>
            <w:r>
              <w:rPr>
                <w:rFonts w:ascii="Arial" w:cs="Arial" w:eastAsia="Arial" w:hAnsi="Arial"/>
                <w:sz w:val="19"/>
                <w:szCs w:val="19"/>
              </w:rPr>
              <w:t xml:space="preserve">If the optimization did not converge, you may need to increase --max-iter.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40"/>
            </w:pPr>
            <w:r>
              <w:rPr>
                <w:rFonts w:ascii="Arial" w:cs="Arial" w:eastAsia="Arial" w:hAnsi="Arial"/>
                <w:b/>
                <w:bCs/>
                <w:sz w:val="20"/>
                <w:szCs w:val="20"/>
              </w:rPr>
              <w:t xml:space="preserve">Discussion Question 1: </w:t>
            </w:r>
            <w:r>
              <w:rPr>
                <w:rFonts w:ascii="Arial" w:cs="Arial" w:eastAsia="Arial" w:hAnsi="Arial"/>
                <w:sz w:val="20"/>
                <w:szCs w:val="20"/>
              </w:rPr>
              <w:t xml:space="preserve">Why do we use a dispersion correction (D3BJ) for the geometry optimization, even for a small planar molecule like PNA? Under what circumstances might dispersion corrections be unnecessary?</w:t>
            </w:r>
          </w:p>
        </w:tc>
      </w:tr>
    </w:tbl>
    <w:p>
      <w:pPr>
        <w:spacing w:after="80"/>
      </w:pPr>
    </w:p>
    <w:p>
      <w:pPr>
        <w:pStyle w:val="Heading2"/>
        <w:spacing w:before="280" w:after="120"/>
      </w:pPr>
      <w:r>
        <w:rPr>
          <w:rFonts w:ascii="Arial" w:cs="Arial" w:eastAsia="Arial" w:hAnsi="Arial"/>
          <w:b/>
          <w:bCs/>
          <w:sz w:val="24"/>
          <w:szCs w:val="24"/>
        </w:rPr>
        <w:t xml:space="preserve">Stage 2: Conformer Generation</w:t>
      </w:r>
    </w:p>
    <w:p>
      <w:pPr>
        <w:spacing w:after="120"/>
      </w:pPr>
      <w:r>
        <w:rPr>
          <w:rFonts w:ascii="Arial" w:cs="Arial" w:eastAsia="Arial" w:hAnsi="Arial"/>
          <w:sz w:val="20"/>
          <w:szCs w:val="20"/>
        </w:rPr>
        <w:t xml:space="preserve">For a rigid molecule like PNA, conformer generation is straightforward: Confab will identify very few (likely just one) distinct conformers, because there are no freely rotatable bonds that generate meaningfully different 3D structures. Running this stage is still instructive because it demonstrates what the tool does and sets the stage for Session 2 where conformational diversity becomes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./2-orca-conf-search.sh \</w:t>
            </w:r>
          </w:p>
          <w:p>
            <w:pPr>
              <w:spacing w:after="20"/>
            </w:pPr>
            <w:r>
              <w:rPr>
                <w:rFonts w:ascii="Courier New" w:cs="Courier New" w:eastAsia="Courier New" w:hAnsi="Courier New"/>
                <w:sz w:val="17"/>
                <w:szCs w:val="17"/>
              </w:rPr>
              <w:t xml:space="preserve">    --ecut 5 \</w:t>
            </w:r>
          </w:p>
          <w:p>
            <w:pPr>
              <w:spacing w:after="20"/>
            </w:pPr>
            <w:r>
              <w:rPr>
                <w:rFonts w:ascii="Courier New" w:cs="Courier New" w:eastAsia="Courier New" w:hAnsi="Courier New"/>
                <w:sz w:val="17"/>
                <w:szCs w:val="17"/>
              </w:rPr>
              <w:t xml:space="preserve">    --conf 500 \</w:t>
            </w:r>
          </w:p>
          <w:p>
            <w:pPr>
              <w:spacing w:after="20"/>
            </w:pPr>
            <w:r>
              <w:rPr>
                <w:rFonts w:ascii="Courier New" w:cs="Courier New" w:eastAsia="Courier New" w:hAnsi="Courier New"/>
                <w:sz w:val="17"/>
                <w:szCs w:val="17"/>
              </w:rPr>
              <w:t xml:space="preserve">    molecules.txt</w:t>
            </w:r>
          </w:p>
        </w:tc>
      </w:tr>
    </w:tbl>
    <w:p>
      <w:pPr>
        <w:spacing w:after="120"/>
      </w:pPr>
      <w:r>
        <w:rPr>
          <w:rFonts w:ascii="Arial" w:cs="Arial" w:eastAsia="Arial" w:hAnsi="Arial"/>
          <w:sz w:val="20"/>
          <w:szCs w:val="20"/>
        </w:rPr>
        <w:t xml:space="preserve">Confab works by systematically rotating each torsion angle and evaluating the resulting structures with a force field. The --ecut flag sets the energy window (in kcal/mol) above the lowest-energy conformer; any structure more than 5 kcal/mol higher is discarded. The --conf flag caps the total number of conformers returned.</w:t>
      </w:r>
    </w:p>
    <w:p>
      <w:pPr>
        <w:spacing w:after="120"/>
      </w:pPr>
      <w:r>
        <w:rPr>
          <w:rFonts w:ascii="Arial" w:cs="Arial" w:eastAsia="Arial" w:hAnsi="Arial"/>
          <w:sz w:val="20"/>
          <w:szCs w:val="20"/>
        </w:rPr>
        <w:t xml:space="preserve">After this step, check how many conformers were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ls pna/02_conf_search/split_xyz/ | wc -l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40"/>
            </w:pPr>
            <w:r>
              <w:rPr>
                <w:rFonts w:ascii="Arial" w:cs="Arial" w:eastAsia="Arial" w:hAnsi="Arial"/>
                <w:b/>
                <w:bCs/>
                <w:sz w:val="20"/>
                <w:szCs w:val="20"/>
              </w:rPr>
              <w:t xml:space="preserve">Discussion Question 2: </w:t>
            </w:r>
            <w:r>
              <w:rPr>
                <w:rFonts w:ascii="Arial" w:cs="Arial" w:eastAsia="Arial" w:hAnsi="Arial"/>
                <w:sz w:val="20"/>
                <w:szCs w:val="20"/>
              </w:rPr>
              <w:t xml:space="preserve">PNA is essentially planar and rigid. How many conformers did Confab produce? Why? What types of molecular features (functional groups, ring systems, chain length) would lead Confab to produce many conformers?</w:t>
            </w:r>
          </w:p>
        </w:tc>
      </w:tr>
    </w:tbl>
    <w:p>
      <w:pPr>
        <w:spacing w:after="80"/>
      </w:pPr>
    </w:p>
    <w:p>
      <w:pPr>
        <w:pStyle w:val="Heading2"/>
        <w:spacing w:before="280" w:after="120"/>
      </w:pPr>
      <w:r>
        <w:rPr>
          <w:rFonts w:ascii="Arial" w:cs="Arial" w:eastAsia="Arial" w:hAnsi="Arial"/>
          <w:b/>
          <w:bCs/>
          <w:sz w:val="24"/>
          <w:szCs w:val="24"/>
        </w:rPr>
        <w:t xml:space="preserve">Stage 3: Solvent-Phase Re-optimization</w:t>
      </w:r>
    </w:p>
    <w:p>
      <w:pPr>
        <w:spacing w:after="120"/>
      </w:pPr>
      <w:r>
        <w:rPr>
          <w:rFonts w:ascii="Arial" w:cs="Arial" w:eastAsia="Arial" w:hAnsi="Arial"/>
          <w:sz w:val="20"/>
          <w:szCs w:val="20"/>
        </w:rPr>
        <w:t xml:space="preserve">Each conformer is now re-optimized with an implicit solvent model. This accounts for the electrostatic stabilization that the solvent provides, which can shift the relative energies of conformers and, more importantly for PNA, can significantly affect the electronic structure and excitation energies.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./4-orca-solvent-opt.sh \</w:t>
            </w:r>
          </w:p>
          <w:p>
            <w:pPr>
              <w:spacing w:after="20"/>
            </w:pPr>
            <w:r>
              <w:rPr>
                <w:rFonts w:ascii="Courier New" w:cs="Courier New" w:eastAsia="Courier New" w:hAnsi="Courier New"/>
                <w:sz w:val="17"/>
                <w:szCs w:val="17"/>
              </w:rPr>
              <w:t xml:space="preserve">    --method B3LYP \</w:t>
            </w:r>
          </w:p>
          <w:p>
            <w:pPr>
              <w:spacing w:after="20"/>
            </w:pPr>
            <w:r>
              <w:rPr>
                <w:rFonts w:ascii="Courier New" w:cs="Courier New" w:eastAsia="Courier New" w:hAnsi="Courier New"/>
                <w:sz w:val="17"/>
                <w:szCs w:val="17"/>
              </w:rPr>
              <w:t xml:space="preserve">    --disp D3BJ \</w:t>
            </w:r>
          </w:p>
          <w:p>
            <w:pPr>
              <w:spacing w:after="20"/>
            </w:pPr>
            <w:r>
              <w:rPr>
                <w:rFonts w:ascii="Courier New" w:cs="Courier New" w:eastAsia="Courier New" w:hAnsi="Courier New"/>
                <w:sz w:val="17"/>
                <w:szCs w:val="17"/>
              </w:rPr>
              <w:t xml:space="preserve">    --basis def2-SVP \</w:t>
            </w:r>
          </w:p>
          <w:p>
            <w:pPr>
              <w:spacing w:after="20"/>
            </w:pPr>
            <w:r>
              <w:rPr>
                <w:rFonts w:ascii="Courier New" w:cs="Courier New" w:eastAsia="Courier New" w:hAnsi="Courier New"/>
                <w:sz w:val="17"/>
                <w:szCs w:val="17"/>
              </w:rPr>
              <w:t xml:space="preserve">    --grid 3 \</w:t>
            </w:r>
          </w:p>
          <w:p>
            <w:pPr>
              <w:spacing w:after="20"/>
            </w:pPr>
            <w:r>
              <w:rPr>
                <w:rFonts w:ascii="Courier New" w:cs="Courier New" w:eastAsia="Courier New" w:hAnsi="Courier New"/>
                <w:sz w:val="17"/>
                <w:szCs w:val="17"/>
              </w:rPr>
              <w:t xml:space="preserve">    --solvent water \</w:t>
            </w:r>
          </w:p>
          <w:p>
            <w:pPr>
              <w:spacing w:after="20"/>
            </w:pPr>
            <w:r>
              <w:rPr>
                <w:rFonts w:ascii="Courier New" w:cs="Courier New" w:eastAsia="Courier New" w:hAnsi="Courier New"/>
                <w:sz w:val="17"/>
                <w:szCs w:val="17"/>
              </w:rPr>
              <w:t xml:space="preserve">    --cpus 4 \</w:t>
            </w:r>
          </w:p>
          <w:p>
            <w:pPr>
              <w:spacing w:after="20"/>
            </w:pPr>
            <w:r>
              <w:rPr>
                <w:rFonts w:ascii="Courier New" w:cs="Courier New" w:eastAsia="Courier New" w:hAnsi="Courier New"/>
                <w:sz w:val="17"/>
                <w:szCs w:val="17"/>
              </w:rPr>
              <w:t xml:space="preserve">    molecules.txt</w:t>
            </w:r>
          </w:p>
        </w:tc>
      </w:tr>
    </w:tbl>
    <w:p>
      <w:pPr>
        <w:spacing w:after="120"/>
      </w:pPr>
      <w:r>
        <w:rPr>
          <w:rFonts w:ascii="Arial" w:cs="Arial" w:eastAsia="Arial" w:hAnsi="Arial"/>
          <w:sz w:val="20"/>
          <w:szCs w:val="20"/>
        </w:rPr>
        <w:t xml:space="preserve">The workflow uses SMD (Solvation Model based on Density), which builds on the CPCM (Conductor-like Polarizable Continuum Model) dielectric cavity and adds short-range non-electrostatic terms. The optimized structures are written to pna/03_solvent_opt/pna_conf1/.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160"/>
            </w:tcMar>
          </w:tcPr>
          <w:p>
            <w:pPr>
              <w:spacing w:after="60"/>
            </w:pPr>
            <w:r>
              <w:rPr>
                <w:rFonts w:ascii="Arial" w:cs="Arial" w:eastAsia="Arial" w:hAnsi="Arial"/>
                <w:b/>
                <w:bCs/>
                <w:sz w:val="20"/>
                <w:szCs w:val="20"/>
              </w:rPr>
              <w:t xml:space="preserve">CPCM vs. SMD</w:t>
            </w:r>
          </w:p>
          <w:p>
            <w:pPr>
              <w:spacing w:after="40"/>
            </w:pPr>
            <w:r>
              <w:rPr>
                <w:rFonts w:ascii="Arial" w:cs="Arial" w:eastAsia="Arial" w:hAnsi="Arial"/>
                <w:sz w:val="19"/>
                <w:szCs w:val="19"/>
              </w:rPr>
              <w:t xml:space="preserve">CPCM models only the bulk electrostatic response of the solvent.</w:t>
            </w:r>
          </w:p>
          <w:p>
            <w:pPr>
              <w:spacing w:after="40"/>
            </w:pPr>
            <w:r>
              <w:rPr>
                <w:rFonts w:ascii="Arial" w:cs="Arial" w:eastAsia="Arial" w:hAnsi="Arial"/>
                <w:sz w:val="19"/>
                <w:szCs w:val="19"/>
              </w:rPr>
              <w:t xml:space="preserve">SMD adds short-range non-electrostatic terms (cavitation, dispersion, solvent structure).</w:t>
            </w:r>
          </w:p>
          <w:p>
            <w:pPr>
              <w:spacing w:after="40"/>
            </w:pPr>
            <w:r>
              <w:rPr>
                <w:rFonts w:ascii="Arial" w:cs="Arial" w:eastAsia="Arial" w:hAnsi="Arial"/>
                <w:sz w:val="19"/>
                <w:szCs w:val="19"/>
              </w:rPr>
              <w:t xml:space="preserve">This workflow uses SMD by default. Pure CPCM (electrostatics only) is available via</w:t>
            </w:r>
          </w:p>
          <w:p>
            <w:pPr>
              <w:spacing w:after="40"/>
            </w:pPr>
            <w:r>
              <w:rPr>
                <w:rFonts w:ascii="Arial" w:cs="Arial" w:eastAsia="Arial" w:hAnsi="Arial"/>
                <w:sz w:val="19"/>
                <w:szCs w:val="19"/>
              </w:rPr>
              <w:t xml:space="preserve">--solvent-model cpcm. See Exercise 3.4 for a direct comparison.</w:t>
            </w:r>
          </w:p>
          <w:p>
            <w:pPr>
              <w:spacing w:after="40"/>
            </w:pPr>
            <w:r>
              <w:rPr>
                <w:rFonts w:ascii="Arial" w:cs="Arial" w:eastAsia="Arial" w:hAnsi="Arial"/>
                <w:sz w:val="19"/>
                <w:szCs w:val="19"/>
              </w:rPr>
              <w:t xml:space="preserve">You can switch between them using the --solvent-model flag (cpcm or smd).</w:t>
            </w:r>
          </w:p>
        </w:tc>
      </w:tr>
    </w:tbl>
    <w:p>
      <w:pPr>
        <w:pStyle w:val="Heading2"/>
        <w:spacing w:before="280" w:after="120"/>
      </w:pPr>
      <w:r>
        <w:rPr>
          <w:rFonts w:ascii="Arial" w:cs="Arial" w:eastAsia="Arial" w:hAnsi="Arial"/>
          <w:b/>
          <w:bCs/>
          <w:sz w:val="24"/>
          <w:szCs w:val="24"/>
        </w:rPr>
        <w:t xml:space="preserve">Stage 4: Boltzmann Weighting</w:t>
      </w:r>
    </w:p>
    <w:p>
      <w:pPr>
        <w:spacing w:after="120"/>
      </w:pPr>
      <w:r>
        <w:rPr>
          <w:rFonts w:ascii="Arial" w:cs="Arial" w:eastAsia="Arial" w:hAnsi="Arial"/>
          <w:sz w:val="20"/>
          <w:szCs w:val="20"/>
        </w:rPr>
        <w:t xml:space="preserve">The Boltzmann filter reads the final energies from each solvent-phase optimization, computes the population of each conformer at a given temperature, and keeps only those conformers whose population exceeds a threshold. For PNA and its expected single conformer, this step is trivial but still executes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./5-orca-boltzmann-weight.sh \</w:t>
            </w:r>
          </w:p>
          <w:p>
            <w:pPr>
              <w:spacing w:after="20"/>
            </w:pPr>
            <w:r>
              <w:rPr>
                <w:rFonts w:ascii="Courier New" w:cs="Courier New" w:eastAsia="Courier New" w:hAnsi="Courier New"/>
                <w:sz w:val="17"/>
                <w:szCs w:val="17"/>
              </w:rPr>
              <w:t xml:space="preserve">    --temp 298.15 \</w:t>
            </w:r>
          </w:p>
          <w:p>
            <w:pPr>
              <w:spacing w:after="20"/>
            </w:pPr>
            <w:r>
              <w:rPr>
                <w:rFonts w:ascii="Courier New" w:cs="Courier New" w:eastAsia="Courier New" w:hAnsi="Courier New"/>
                <w:sz w:val="17"/>
                <w:szCs w:val="17"/>
              </w:rPr>
              <w:t xml:space="preserve">    --p-cut 0.01 \</w:t>
            </w:r>
          </w:p>
          <w:p>
            <w:pPr>
              <w:spacing w:after="20"/>
            </w:pPr>
            <w:r>
              <w:rPr>
                <w:rFonts w:ascii="Courier New" w:cs="Courier New" w:eastAsia="Courier New" w:hAnsi="Courier New"/>
                <w:sz w:val="17"/>
                <w:szCs w:val="17"/>
              </w:rPr>
              <w:t xml:space="preserve">    molecules.txt</w:t>
            </w:r>
          </w:p>
        </w:tc>
      </w:tr>
    </w:tbl>
    <w:p>
      <w:pPr>
        <w:spacing w:after="120"/>
      </w:pPr>
      <w:r>
        <w:rPr>
          <w:rFonts w:ascii="Arial" w:cs="Arial" w:eastAsia="Arial" w:hAnsi="Arial"/>
          <w:sz w:val="20"/>
          <w:szCs w:val="20"/>
        </w:rPr>
        <w:t xml:space="preserve">The results are written to pna/04_boltzmann/pna_bw_labels.dat. Examine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cat pna/04_boltzmann/pna_bw_labels.dat</w:t>
            </w:r>
          </w:p>
        </w:tc>
      </w:tr>
    </w:tbl>
    <w:p>
      <w:pPr>
        <w:spacing w:after="120"/>
      </w:pPr>
      <w:r>
        <w:rPr>
          <w:rFonts w:ascii="Arial" w:cs="Arial" w:eastAsia="Arial" w:hAnsi="Arial"/>
          <w:sz w:val="20"/>
          <w:szCs w:val="20"/>
        </w:rPr>
        <w:t xml:space="preserve">You should see a single conformer with a probability of 1.000000 (or very close to it).</w:t>
      </w:r>
    </w:p>
    <w:p>
      <w:pPr>
        <w:pStyle w:val="Heading2"/>
        <w:spacing w:before="280" w:after="120"/>
      </w:pPr>
      <w:r>
        <w:rPr>
          <w:rFonts w:ascii="Arial" w:cs="Arial" w:eastAsia="Arial" w:hAnsi="Arial"/>
          <w:b/>
          <w:bCs/>
          <w:sz w:val="24"/>
          <w:szCs w:val="24"/>
        </w:rPr>
        <w:t xml:space="preserve">Stage 5: TDDFT Excited-State Calculation</w:t>
      </w:r>
    </w:p>
    <w:p>
      <w:pPr>
        <w:spacing w:after="120"/>
      </w:pPr>
      <w:r>
        <w:rPr>
          <w:rFonts w:ascii="Arial" w:cs="Arial" w:eastAsia="Arial" w:hAnsi="Arial"/>
          <w:sz w:val="20"/>
          <w:szCs w:val="20"/>
        </w:rPr>
        <w:t xml:space="preserve">This is the central computational step. For each populated conformer, ORCA computes vertical excitation energies, oscillator strengths (for UV-Vis absorption), and rotatory strengths (for ECD) using TDDFT. For this baseline run, we use the range-separated hybrid ωB97X-D3, which is well-suited for charge-transfer excitations.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./6-orca-ecd.sh \</w:t>
            </w:r>
          </w:p>
          <w:p>
            <w:pPr>
              <w:spacing w:after="20"/>
            </w:pPr>
            <w:r>
              <w:rPr>
                <w:rFonts w:ascii="Courier New" w:cs="Courier New" w:eastAsia="Courier New" w:hAnsi="Courier New"/>
                <w:sz w:val="17"/>
                <w:szCs w:val="17"/>
              </w:rPr>
              <w:t xml:space="preserve">    --method wB97X-D3 \</w:t>
            </w:r>
          </w:p>
          <w:p>
            <w:pPr>
              <w:spacing w:after="20"/>
            </w:pPr>
            <w:r>
              <w:rPr>
                <w:rFonts w:ascii="Courier New" w:cs="Courier New" w:eastAsia="Courier New" w:hAnsi="Courier New"/>
                <w:sz w:val="17"/>
                <w:szCs w:val="17"/>
              </w:rPr>
              <w:t xml:space="preserve">    --basis def2-TZVP \</w:t>
            </w:r>
          </w:p>
          <w:p>
            <w:pPr>
              <w:spacing w:after="20"/>
            </w:pPr>
            <w:r>
              <w:rPr>
                <w:rFonts w:ascii="Courier New" w:cs="Courier New" w:eastAsia="Courier New" w:hAnsi="Courier New"/>
                <w:sz w:val="17"/>
                <w:szCs w:val="17"/>
              </w:rPr>
              <w:t xml:space="preserve">    --grid 3 \</w:t>
            </w:r>
          </w:p>
          <w:p>
            <w:pPr>
              <w:spacing w:after="20"/>
            </w:pPr>
            <w:r>
              <w:rPr>
                <w:rFonts w:ascii="Courier New" w:cs="Courier New" w:eastAsia="Courier New" w:hAnsi="Courier New"/>
                <w:sz w:val="17"/>
                <w:szCs w:val="17"/>
              </w:rPr>
              <w:t xml:space="preserve">    --solvent water \</w:t>
            </w:r>
          </w:p>
          <w:p>
            <w:pPr>
              <w:spacing w:after="20"/>
            </w:pPr>
            <w:r>
              <w:rPr>
                <w:rFonts w:ascii="Courier New" w:cs="Courier New" w:eastAsia="Courier New" w:hAnsi="Courier New"/>
                <w:sz w:val="17"/>
                <w:szCs w:val="17"/>
              </w:rPr>
              <w:t xml:space="preserve">    --roots 20 \</w:t>
            </w:r>
          </w:p>
          <w:p>
            <w:pPr>
              <w:spacing w:after="20"/>
            </w:pPr>
            <w:r>
              <w:rPr>
                <w:rFonts w:ascii="Courier New" w:cs="Courier New" w:eastAsia="Courier New" w:hAnsi="Courier New"/>
                <w:sz w:val="17"/>
                <w:szCs w:val="17"/>
              </w:rPr>
              <w:t xml:space="preserve">    --cpus 4 \</w:t>
            </w:r>
          </w:p>
          <w:p>
            <w:pPr>
              <w:spacing w:after="20"/>
            </w:pPr>
            <w:r>
              <w:rPr>
                <w:rFonts w:ascii="Courier New" w:cs="Courier New" w:eastAsia="Courier New" w:hAnsi="Courier New"/>
                <w:sz w:val="17"/>
                <w:szCs w:val="17"/>
              </w:rPr>
              <w:t xml:space="preserve">    molecules.txt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160"/>
            </w:tcMar>
          </w:tcPr>
          <w:p>
            <w:pPr>
              <w:spacing w:after="60"/>
            </w:pPr>
            <w:r>
              <w:rPr>
                <w:rFonts w:ascii="Arial" w:cs="Arial" w:eastAsia="Arial" w:hAnsi="Arial"/>
                <w:b/>
                <w:bCs/>
                <w:sz w:val="20"/>
                <w:szCs w:val="20"/>
              </w:rPr>
              <w:t xml:space="preserve">Why a different functional and basis set?</w:t>
            </w:r>
          </w:p>
          <w:p>
            <w:pPr>
              <w:spacing w:after="40"/>
            </w:pPr>
            <w:r>
              <w:rPr>
                <w:rFonts w:ascii="Arial" w:cs="Arial" w:eastAsia="Arial" w:hAnsi="Arial"/>
                <w:sz w:val="19"/>
                <w:szCs w:val="19"/>
              </w:rPr>
              <w:t xml:space="preserve">We used B3LYP/def2-SVP for geometry optimization because it is fast and gives</w:t>
            </w:r>
          </w:p>
          <w:p>
            <w:pPr>
              <w:spacing w:after="40"/>
            </w:pPr>
            <w:r>
              <w:rPr>
                <w:rFonts w:ascii="Arial" w:cs="Arial" w:eastAsia="Arial" w:hAnsi="Arial"/>
                <w:sz w:val="19"/>
                <w:szCs w:val="19"/>
              </w:rPr>
              <w:t xml:space="preserve">reliable structures. For the TDDFT step, we switch to a larger basis set (def2-TZVP)</w:t>
            </w:r>
          </w:p>
          <w:p>
            <w:pPr>
              <w:spacing w:after="40"/>
            </w:pPr>
            <w:r>
              <w:rPr>
                <w:rFonts w:ascii="Arial" w:cs="Arial" w:eastAsia="Arial" w:hAnsi="Arial"/>
                <w:sz w:val="19"/>
                <w:szCs w:val="19"/>
              </w:rPr>
              <w:t xml:space="preserve">and a range-separated functional (ωB97X-D3) because excitation energies are more</w:t>
            </w:r>
          </w:p>
          <w:p>
            <w:pPr>
              <w:spacing w:after="40"/>
            </w:pPr>
            <w:r>
              <w:rPr>
                <w:rFonts w:ascii="Arial" w:cs="Arial" w:eastAsia="Arial" w:hAnsi="Arial"/>
                <w:sz w:val="19"/>
                <w:szCs w:val="19"/>
              </w:rPr>
              <w:t xml:space="preserve">sensitive to these choices than ground-state geometries are. This "multi-level"</w:t>
            </w:r>
          </w:p>
          <w:p>
            <w:pPr>
              <w:spacing w:after="40"/>
            </w:pPr>
            <w:r>
              <w:rPr>
                <w:rFonts w:ascii="Arial" w:cs="Arial" w:eastAsia="Arial" w:hAnsi="Arial"/>
                <w:sz w:val="19"/>
                <w:szCs w:val="19"/>
              </w:rPr>
              <w:t xml:space="preserve">strategy is standard practice in computational spectroscopy.</w:t>
            </w:r>
          </w:p>
        </w:tc>
      </w:tr>
    </w:tbl>
    <w:p>
      <w:pPr>
        <w:spacing w:after="120"/>
      </w:pPr>
      <w:r>
        <w:rPr>
          <w:rFonts w:ascii="Arial" w:cs="Arial" w:eastAsia="Arial" w:hAnsi="Arial"/>
          <w:sz w:val="20"/>
          <w:szCs w:val="20"/>
        </w:rPr>
        <w:t xml:space="preserve">The --roots 20 flag tells ORCA to compute the lowest 20 excited states. This ensures we capture all transitions in the near-UV/visible region. The --disp flag defaults to "auto", which applies appropriate dispersion for the chosen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40"/>
            </w:pPr>
            <w:r>
              <w:rPr>
                <w:rFonts w:ascii="Arial" w:cs="Arial" w:eastAsia="Arial" w:hAnsi="Arial"/>
                <w:b/>
                <w:bCs/>
                <w:sz w:val="20"/>
                <w:szCs w:val="20"/>
              </w:rPr>
              <w:t xml:space="preserve">Discussion Question 3: </w:t>
            </w:r>
            <w:r>
              <w:rPr>
                <w:rFonts w:ascii="Arial" w:cs="Arial" w:eastAsia="Arial" w:hAnsi="Arial"/>
                <w:sz w:val="20"/>
                <w:szCs w:val="20"/>
              </w:rPr>
              <w:t xml:space="preserve">The TDDFT input includes "TDA false". This means full TDDFT is used rather than the Tamm-Dancoff Approximation (TDA). Look up the difference between TDA and full TDDFT. When might TDA be preferred, and what does it sacrifice?</w:t>
            </w:r>
          </w:p>
        </w:tc>
      </w:tr>
    </w:tbl>
    <w:p>
      <w:pPr>
        <w:spacing w:after="80"/>
      </w:pPr>
    </w:p>
    <w:p>
      <w:pPr>
        <w:pStyle w:val="Heading2"/>
        <w:spacing w:before="280" w:after="120"/>
      </w:pPr>
      <w:r>
        <w:rPr>
          <w:rFonts w:ascii="Arial" w:cs="Arial" w:eastAsia="Arial" w:hAnsi="Arial"/>
          <w:b/>
          <w:bCs/>
          <w:sz w:val="24"/>
          <w:szCs w:val="24"/>
        </w:rPr>
        <w:t xml:space="preserve">Plotting: Generate UV-Vis Spectrum</w:t>
      </w:r>
    </w:p>
    <w:p>
      <w:pPr>
        <w:spacing w:after="120"/>
      </w:pPr>
      <w:r>
        <w:rPr>
          <w:rFonts w:ascii="Arial" w:cs="Arial" w:eastAsia="Arial" w:hAnsi="Arial"/>
          <w:sz w:val="20"/>
          <w:szCs w:val="20"/>
        </w:rPr>
        <w:t xml:space="preserve">The Python plotting tool parses ORCA TDDFT output files, applies Boltzmann weighting, performs Gaussian broadening, and produces publication-quality plots and CSV data tables in one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python3 or_ecd_uvvis_tools.py pna/05_ecd/**/*.log --bw pna/04_boltzmann/pna_energies.dat --outdir pna --stick --flip_x --xlim 200 500</w:t>
            </w:r>
          </w:p>
        </w:tc>
      </w:tr>
    </w:tbl>
    <w:p>
      <w:pPr>
        <w:spacing w:after="120"/>
      </w:pPr>
      <w:r>
        <w:rPr>
          <w:rFonts w:ascii="Arial" w:cs="Arial" w:eastAsia="Arial" w:hAnsi="Arial"/>
          <w:sz w:val="20"/>
          <w:szCs w:val="20"/>
        </w:rPr>
        <w:t xml:space="preserve">This generates PNG and PDF plots plus CSV data tables. The --stick flag overlays the raw computed transitions before broadening. Adjust the broadening width with --uv_fwhm (default 0.35 eV).</w:t>
      </w:r>
    </w:p>
    <w:p>
      <w:pPr>
        <w:spacing w:after="120"/>
      </w:pPr>
      <w:r>
        <w:rPr>
          <w:rFonts w:ascii="Arial" w:cs="Arial" w:eastAsia="Arial" w:hAnsi="Arial"/>
          <w:sz w:val="20"/>
          <w:szCs w:val="20"/>
        </w:rPr>
        <w:t xml:space="preserve">The plotting tool multiplies each conformer's stick spectrum by its Boltzmann probability and writes the weighted data to the 06_spectra/ directory. For PNA with one conformer at 100% population, the weighted and unweighted spectra are identical.</w:t>
      </w:r>
    </w:p>
    <w:p>
      <w:pPr>
        <w:spacing w:after="120"/>
      </w:pPr>
      <w:r>
        <w:rPr>
          <w:rFonts w:ascii="Arial" w:cs="Arial" w:eastAsia="Arial" w:hAnsi="Arial"/>
          <w:sz w:val="20"/>
          <w:szCs w:val="20"/>
        </w:rPr>
        <w:t xml:space="preserve">Open the generated plots in pna/06_spectra/ to see the broadened UV-Vis absorption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80"/>
              <w:left w:type="dxa" w:w="160"/>
              <w:bottom w:type="dxa" w:w="80"/>
              <w:right w:type="dxa" w:w="160"/>
            </w:tcMar>
          </w:tcPr>
          <w:p>
            <w:pPr>
              <w:spacing w:after="60"/>
            </w:pPr>
            <w:r>
              <w:rPr>
                <w:rFonts w:ascii="Arial" w:cs="Arial" w:eastAsia="Arial" w:hAnsi="Arial"/>
                <w:b/>
                <w:bCs/>
                <w:sz w:val="20"/>
                <w:szCs w:val="20"/>
              </w:rPr>
              <w:t xml:space="preserve">Check your result</w:t>
            </w:r>
          </w:p>
          <w:p>
            <w:pPr>
              <w:spacing w:after="40"/>
            </w:pPr>
            <w:r>
              <w:rPr>
                <w:rFonts w:ascii="Arial" w:cs="Arial" w:eastAsia="Arial" w:hAnsi="Arial"/>
                <w:sz w:val="19"/>
                <w:szCs w:val="19"/>
              </w:rPr>
              <w:t xml:space="preserve">Open pna_uv.png and identify the dominant absorption band.</w:t>
            </w:r>
          </w:p>
          <w:p>
            <w:pPr>
              <w:spacing w:after="40"/>
            </w:pPr>
            <w:r>
              <w:rPr>
                <w:rFonts w:ascii="Arial" w:cs="Arial" w:eastAsia="Arial" w:hAnsi="Arial"/>
                <w:sz w:val="19"/>
                <w:szCs w:val="19"/>
              </w:rPr>
              <w:t xml:space="preserve">Record its wavelength. The experimental absorption maximum for PNA in water is</w:t>
            </w:r>
          </w:p>
          <w:p>
            <w:pPr>
              <w:spacing w:after="40"/>
            </w:pPr>
            <w:r>
              <w:rPr>
                <w:rFonts w:ascii="Arial" w:cs="Arial" w:eastAsia="Arial" w:hAnsi="Arial"/>
                <w:sz w:val="19"/>
                <w:szCs w:val="19"/>
              </w:rPr>
              <w:t xml:space="preserve">approximately 370 nm. How close is your computed value?</w:t>
            </w:r>
          </w:p>
          <w:p>
            <w:pPr>
              <w:spacing w:after="40"/>
            </w:pPr>
            <w:r>
              <w:rPr>
                <w:rFonts w:ascii="Arial" w:cs="Arial" w:eastAsia="Arial" w:hAnsi="Arial"/>
                <w:sz w:val="19"/>
                <w:szCs w:val="19"/>
              </w:rPr>
              <w:t xml:space="preserve">Also note any secondary bands at shorter wavelengths.</w:t>
            </w:r>
          </w:p>
        </w:tc>
      </w:tr>
    </w:tbl>
    <w:p>
      <w:pPr>
        <w:pStyle w:val="Heading1"/>
        <w:spacing w:before="360" w:after="160"/>
      </w:pPr>
      <w:r>
        <w:rPr>
          <w:rFonts w:ascii="Arial" w:cs="Arial" w:eastAsia="Arial" w:hAnsi="Arial"/>
          <w:b/>
          <w:bCs/>
          <w:sz w:val="28"/>
          <w:szCs w:val="28"/>
        </w:rPr>
        <w:t xml:space="preserve">Part 3: Functional and Basis Set Benchmarking</w:t>
      </w:r>
    </w:p>
    <w:p>
      <w:pPr>
        <w:spacing w:after="120"/>
      </w:pPr>
      <w:r>
        <w:rPr>
          <w:rFonts w:ascii="Arial" w:cs="Arial" w:eastAsia="Arial" w:hAnsi="Arial"/>
          <w:sz w:val="20"/>
          <w:szCs w:val="20"/>
        </w:rPr>
        <w:t xml:space="preserve">Now that you have a baseline spectrum, the real learning begins. You will systematically vary the density functional and then the basis sets in the TDDFT step (Stage 5) while keeping everything else constant, then compare how each choice affects the predicted absorption maximum. This exercise mirrors the kind of benchmarking study you would perform before using TDDFT predictions in a research context.</w:t>
      </w:r>
    </w:p>
    <w:p>
      <w:pPr>
        <w:pStyle w:val="Heading2"/>
        <w:spacing w:before="280" w:after="120"/>
      </w:pPr>
      <w:r>
        <w:rPr>
          <w:rFonts w:ascii="Arial" w:cs="Arial" w:eastAsia="Arial" w:hAnsi="Arial"/>
          <w:b/>
          <w:bCs/>
          <w:sz w:val="24"/>
          <w:szCs w:val="24"/>
        </w:rPr>
        <w:t xml:space="preserve">Exercise 3.1: Functional Comparison</w:t>
      </w:r>
    </w:p>
    <w:p>
      <w:pPr>
        <w:spacing w:after="120"/>
      </w:pPr>
      <w:r>
        <w:rPr>
          <w:rFonts w:ascii="Arial" w:cs="Arial" w:eastAsia="Arial" w:hAnsi="Arial"/>
          <w:sz w:val="20"/>
          <w:szCs w:val="20"/>
        </w:rPr>
        <w:t xml:space="preserve">Re-run Stage 5 (and then re-plot) with each of the following functionals, keeping the basis set at def2-TZVP and the solvent model as SMD(WATER). To avoid overwriting your baseline results, create a separate working directory for each functional or rename the output directories between runs.</w:t>
      </w:r>
    </w:p>
    <w:p>
      <w:pPr>
        <w:spacing w:after="120"/>
      </w:pPr>
      <w:r>
        <w:rPr>
          <w:rFonts w:ascii="Arial" w:cs="Arial" w:eastAsia="Arial" w:hAnsi="Arial"/>
          <w:sz w:val="20"/>
          <w:szCs w:val="20"/>
        </w:rPr>
        <w:t xml:space="preserve">The recommended approach is to rename the output directory after each run, then re-run Stage 6, which will create a fresh pna/05_ecd directory. This leaves all prior stage outputs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 After running Stage 6 with your baseline (wB97X-D3), rename the output:</w:t>
            </w:r>
          </w:p>
          <w:p>
            <w:pPr>
              <w:spacing w:after="20"/>
            </w:pPr>
            <w:r>
              <w:rPr>
                <w:rFonts w:ascii="Courier New" w:cs="Courier New" w:eastAsia="Courier New" w:hAnsi="Courier New"/>
                <w:sz w:val="17"/>
                <w:szCs w:val="17"/>
              </w:rPr>
              <w:t xml:space="preserve">mv pna/05_ecd pna/05_ecd_wb97xd3</w:t>
            </w:r>
          </w:p>
          <w:p>
            <w:pPr>
              <w:spacing w:after="20"/>
            </w:pPr>
            <w:r>
              <w:rPr>
                <w:rFonts w:ascii="Courier New" w:cs="Courier New" w:eastAsia="Courier New" w:hAnsi="Courier New"/>
                <w:sz w:val="17"/>
                <w:szCs w:val="17"/>
              </w:rPr>
              <w:t xml:space="preserve"># Re-run Stage 6 with B3LYP; a new pna/05_ecd will be created</w:t>
            </w:r>
          </w:p>
          <w:p>
            <w:pPr>
              <w:spacing w:after="20"/>
            </w:pPr>
            <w:r>
              <w:rPr>
                <w:rFonts w:ascii="Courier New" w:cs="Courier New" w:eastAsia="Courier New" w:hAnsi="Courier New"/>
                <w:sz w:val="17"/>
                <w:szCs w:val="17"/>
              </w:rPr>
              <w:t xml:space="preserve">mv pna/05_ecd pna/05_ecd_b3lyp</w:t>
            </w:r>
          </w:p>
          <w:p>
            <w:pPr>
              <w:spacing w:after="20"/>
            </w:pPr>
            <w:r>
              <w:rPr>
                <w:rFonts w:ascii="Courier New" w:cs="Courier New" w:eastAsia="Courier New" w:hAnsi="Courier New"/>
                <w:sz w:val="17"/>
                <w:szCs w:val="17"/>
              </w:rPr>
              <w:t xml:space="preserve"># Repeat for each additional functional</w:t>
            </w:r>
          </w:p>
        </w:tc>
      </w:tr>
    </w:tbl>
    <w:p>
      <w:pPr>
        <w:spacing w:after="120"/>
      </w:pPr>
      <w:r>
        <w:rPr>
          <w:rFonts w:ascii="Arial" w:cs="Arial" w:eastAsia="Arial" w:hAnsi="Arial"/>
          <w:sz w:val="20"/>
          <w:szCs w:val="20"/>
        </w:rPr>
        <w:t xml:space="preserve">Run the TDDFT calculation with each functional:</w:t>
      </w:r>
    </w:p>
    <w:p>
      <w:pPr>
        <w:spacing w:before="200" w:after="80"/>
      </w:pPr>
      <w:r>
        <w:rPr>
          <w:rFonts w:ascii="Arial" w:cs="Arial" w:eastAsia="Arial" w:hAnsi="Arial"/>
          <w:b/>
          <w:bCs/>
          <w:sz w:val="22"/>
          <w:szCs w:val="22"/>
        </w:rPr>
        <w:t xml:space="preserve">a) B3LYP (20% HF exchange, standard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./6-orca-ecd.sh --method B3LYP --basis def2-TZVP \</w:t>
            </w:r>
          </w:p>
          <w:p>
            <w:pPr>
              <w:spacing w:after="20"/>
            </w:pPr>
            <w:r>
              <w:rPr>
                <w:rFonts w:ascii="Courier New" w:cs="Courier New" w:eastAsia="Courier New" w:hAnsi="Courier New"/>
                <w:sz w:val="17"/>
                <w:szCs w:val="17"/>
              </w:rPr>
              <w:t xml:space="preserve">    --solvent water --roots 20 --cpus 4 molecules.txt</w:t>
            </w:r>
          </w:p>
        </w:tc>
      </w:tr>
    </w:tbl>
    <w:p>
      <w:pPr>
        <w:spacing w:before="200" w:after="80"/>
      </w:pPr>
      <w:r>
        <w:rPr>
          <w:rFonts w:ascii="Arial" w:cs="Arial" w:eastAsia="Arial" w:hAnsi="Arial"/>
          <w:b/>
          <w:bCs/>
          <w:sz w:val="22"/>
          <w:szCs w:val="22"/>
        </w:rPr>
        <w:t xml:space="preserve">b) PBE0 (25% HF exchange, hybrid GGA)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./6-orca-ecd.sh --method PBE0 --basis def2-TZVP \</w:t>
            </w:r>
          </w:p>
          <w:p>
            <w:pPr>
              <w:spacing w:after="20"/>
            </w:pPr>
            <w:r>
              <w:rPr>
                <w:rFonts w:ascii="Courier New" w:cs="Courier New" w:eastAsia="Courier New" w:hAnsi="Courier New"/>
                <w:sz w:val="17"/>
                <w:szCs w:val="17"/>
              </w:rPr>
              <w:t xml:space="preserve">    --solvent water --roots 20 --cpus 4 molecules.txt</w:t>
            </w:r>
          </w:p>
        </w:tc>
      </w:tr>
    </w:tbl>
    <w:p>
      <w:pPr>
        <w:spacing w:before="200" w:after="80"/>
      </w:pPr>
      <w:r>
        <w:rPr>
          <w:rFonts w:ascii="Arial" w:cs="Arial" w:eastAsia="Arial" w:hAnsi="Arial"/>
          <w:b/>
          <w:bCs/>
          <w:sz w:val="22"/>
          <w:szCs w:val="22"/>
        </w:rPr>
        <w:t xml:space="preserve">c) CAM-B3LYP (range-separated hybrid, 19-65% HF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./6-orca-ecd.sh --method CAM-B3LYP --basis def2-TZVP \</w:t>
            </w:r>
          </w:p>
          <w:p>
            <w:pPr>
              <w:spacing w:after="20"/>
            </w:pPr>
            <w:r>
              <w:rPr>
                <w:rFonts w:ascii="Courier New" w:cs="Courier New" w:eastAsia="Courier New" w:hAnsi="Courier New"/>
                <w:sz w:val="17"/>
                <w:szCs w:val="17"/>
              </w:rPr>
              <w:t xml:space="preserve">    --solvent water --roots 20 --cpus 4 molecules.txt</w:t>
            </w:r>
          </w:p>
        </w:tc>
      </w:tr>
    </w:tbl>
    <w:p>
      <w:pPr>
        <w:spacing w:before="200" w:after="80"/>
      </w:pPr>
      <w:r>
        <w:rPr>
          <w:rFonts w:ascii="Arial" w:cs="Arial" w:eastAsia="Arial" w:hAnsi="Arial"/>
          <w:b/>
          <w:bCs/>
          <w:sz w:val="22"/>
          <w:szCs w:val="22"/>
        </w:rPr>
        <w:t xml:space="preserve">d) ωB97X-D3 (range-separated hybrid with dispersion, your baseline)</w:t>
      </w:r>
    </w:p>
    <w:p>
      <w:pPr>
        <w:spacing w:after="120"/>
      </w:pPr>
      <w:r>
        <w:rPr>
          <w:rFonts w:ascii="Arial" w:cs="Arial" w:eastAsia="Arial" w:hAnsi="Arial"/>
          <w:sz w:val="20"/>
          <w:szCs w:val="20"/>
        </w:rPr>
        <w:t xml:space="preserve">You already ran this in Part 2. Use those results.</w:t>
      </w:r>
    </w:p>
    <w:p>
      <w:pPr>
        <w:spacing w:after="120"/>
      </w:pPr>
      <w:r>
        <w:rPr>
          <w:rFonts w:ascii="Arial" w:cs="Arial" w:eastAsia="Arial" w:hAnsi="Arial"/>
          <w:sz w:val="20"/>
          <w:szCs w:val="20"/>
        </w:rPr>
        <w:t xml:space="preserve">After each TDDFT run, re-run the plotting step to generate the spectrum. Record the dominant absorption wavelength (λmax) and oscillator strength (f) for each functional in the table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Functional</w:t>
            </w:r>
          </w:p>
        </w:tc>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Computed λmax (nm)</w:t>
            </w:r>
          </w:p>
        </w:tc>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Oscillator Strength (f)</w:t>
            </w:r>
          </w:p>
        </w:tc>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Error vs. Expt (nm)</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B3LYP</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PBE0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CAM-B3LYP</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ωB97X-D3</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Arial" w:cs="Arial" w:eastAsia="Arial" w:hAnsi="Arial"/>
                <w:b/>
                <w:bCs/>
                <w:i/>
                <w:iCs/>
                <w:sz w:val="18"/>
                <w:szCs w:val="18"/>
              </w:rPr>
              <w:t xml:space="preserve">Experimental</w:t>
            </w:r>
          </w:p>
        </w:tc>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Arial" w:cs="Arial" w:eastAsia="Arial" w:hAnsi="Arial"/>
                <w:i/>
                <w:iCs/>
                <w:sz w:val="18"/>
                <w:szCs w:val="18"/>
              </w:rPr>
              <w:t xml:space="preserve">~370 (water)</w:t>
            </w:r>
          </w:p>
        </w:tc>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Arial" w:cs="Arial" w:eastAsia="Arial" w:hAnsi="Arial"/>
                <w:sz w:val="18"/>
                <w:szCs w:val="18"/>
              </w:rPr>
              <w:t xml:space="preserve">-</w:t>
            </w:r>
          </w:p>
        </w:tc>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jc w:val="center"/>
            </w:pPr>
            <w:r>
              <w:rPr>
                <w:rFonts w:ascii="Arial" w:cs="Arial" w:eastAsia="Arial" w:hAnsi="Arial"/>
                <w:sz w:val="18"/>
                <w:szCs w:val="18"/>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40"/>
            </w:pPr>
            <w:r>
              <w:rPr>
                <w:rFonts w:ascii="Arial" w:cs="Arial" w:eastAsia="Arial" w:hAnsi="Arial"/>
                <w:b/>
                <w:bCs/>
                <w:sz w:val="20"/>
                <w:szCs w:val="20"/>
              </w:rPr>
              <w:t xml:space="preserve">Discussion Question 4: </w:t>
            </w:r>
            <w:r>
              <w:rPr>
                <w:rFonts w:ascii="Arial" w:cs="Arial" w:eastAsia="Arial" w:hAnsi="Arial"/>
                <w:sz w:val="20"/>
                <w:szCs w:val="20"/>
              </w:rPr>
              <w:t xml:space="preserve">Examine your table. Do you see a systematic trend in λmax as the amount of Hartree-Fock exchange increases? How does this relate to the charge-transfer character of the dominant PNA transition? Consult Laurent &amp; Jacquemin (2013) for context.</w:t>
            </w:r>
          </w:p>
        </w:tc>
      </w:tr>
    </w:tbl>
    <w:p>
      <w:pPr>
        <w:spacing w:after="80"/>
      </w:pPr>
    </w:p>
    <w:p>
      <w:pPr>
        <w:pStyle w:val="Heading2"/>
        <w:spacing w:before="280" w:after="120"/>
      </w:pPr>
      <w:r>
        <w:rPr>
          <w:rFonts w:ascii="Arial" w:cs="Arial" w:eastAsia="Arial" w:hAnsi="Arial"/>
          <w:b/>
          <w:bCs/>
          <w:sz w:val="24"/>
          <w:szCs w:val="24"/>
        </w:rPr>
        <w:t xml:space="preserve">Exercise 3.2: Basis Set Comparison</w:t>
      </w:r>
    </w:p>
    <w:p>
      <w:pPr>
        <w:spacing w:after="120"/>
      </w:pPr>
      <w:r>
        <w:rPr>
          <w:rFonts w:ascii="Arial" w:cs="Arial" w:eastAsia="Arial" w:hAnsi="Arial"/>
          <w:sz w:val="20"/>
          <w:szCs w:val="20"/>
        </w:rPr>
        <w:t xml:space="preserve">Using your best-performing functional from Exercise 3.1, re-run the TDDFT calculation with different basis sets to evaluate basis set convergence. Keep all other parameters the same (SMD/WATER, 20 roots).</w:t>
      </w:r>
    </w:p>
    <w:p>
      <w:pPr>
        <w:spacing w:before="200" w:after="80"/>
      </w:pPr>
      <w:r>
        <w:rPr>
          <w:rFonts w:ascii="Arial" w:cs="Arial" w:eastAsia="Arial" w:hAnsi="Arial"/>
          <w:b/>
          <w:bCs/>
          <w:sz w:val="22"/>
          <w:szCs w:val="22"/>
        </w:rPr>
        <w:t xml:space="preserve">Basis sets to compare:</w:t>
      </w:r>
    </w:p>
    <w:p>
      <w:pPr>
        <w:pStyle w:val="ListParagraph"/>
        <w:numPr>
          <w:ilvl w:val="0"/>
          <w:numId w:val="2"/>
        </w:numPr>
        <w:spacing w:after="60"/>
      </w:pPr>
      <w:r>
        <w:rPr>
          <w:rFonts w:ascii="Arial" w:cs="Arial" w:eastAsia="Arial" w:hAnsi="Arial"/>
          <w:sz w:val="20"/>
          <w:szCs w:val="20"/>
        </w:rPr>
        <w:t xml:space="preserve">def2-SVP (double-ζ, small)</w:t>
      </w:r>
    </w:p>
    <w:p>
      <w:pPr>
        <w:pStyle w:val="ListParagraph"/>
        <w:numPr>
          <w:ilvl w:val="0"/>
          <w:numId w:val="2"/>
        </w:numPr>
        <w:spacing w:after="60"/>
      </w:pPr>
      <w:r>
        <w:rPr>
          <w:rFonts w:ascii="Arial" w:cs="Arial" w:eastAsia="Arial" w:hAnsi="Arial"/>
          <w:sz w:val="20"/>
          <w:szCs w:val="20"/>
        </w:rPr>
        <w:t xml:space="preserve">def2-TZVP (triple-ζ, your baseline)</w:t>
      </w:r>
    </w:p>
    <w:p>
      <w:pPr>
        <w:pStyle w:val="ListParagraph"/>
        <w:numPr>
          <w:ilvl w:val="0"/>
          <w:numId w:val="2"/>
        </w:numPr>
        <w:spacing w:after="60"/>
      </w:pPr>
      <w:r>
        <w:rPr>
          <w:rFonts w:ascii="Arial" w:cs="Arial" w:eastAsia="Arial" w:hAnsi="Arial"/>
          <w:sz w:val="20"/>
          <w:szCs w:val="20"/>
        </w:rPr>
        <w:t xml:space="preserve">def2-TZVPP (triple-ζ with additional polarization)</w:t>
      </w:r>
    </w:p>
    <w:p>
      <w:pPr>
        <w:spacing w:after="120"/>
      </w:pPr>
      <w:r>
        <w:rPr>
          <w:rFonts w:ascii="Arial" w:cs="Arial" w:eastAsia="Arial" w:hAnsi="Arial"/>
          <w:sz w:val="20"/>
          <w:szCs w:val="20"/>
        </w:rPr>
        <w:t xml:space="preserve">Record λmax for each basis set. At what point does the excitation energy appear to converge (i.e., further increasing the basis set produces negligible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40"/>
            </w:pPr>
            <w:r>
              <w:rPr>
                <w:rFonts w:ascii="Arial" w:cs="Arial" w:eastAsia="Arial" w:hAnsi="Arial"/>
                <w:b/>
                <w:bCs/>
                <w:sz w:val="20"/>
                <w:szCs w:val="20"/>
              </w:rPr>
              <w:t xml:space="preserve">Discussion Question 5: </w:t>
            </w:r>
            <w:r>
              <w:rPr>
                <w:rFonts w:ascii="Arial" w:cs="Arial" w:eastAsia="Arial" w:hAnsi="Arial"/>
                <w:sz w:val="20"/>
                <w:szCs w:val="20"/>
              </w:rPr>
              <w:t xml:space="preserve">Based on your results, is there a practical benefit to using def2-TZVPP over def2-TZVP for this system? How would you decide in a research context whether the additional computational cost is justified?</w:t>
            </w:r>
          </w:p>
        </w:tc>
      </w:tr>
    </w:tbl>
    <w:p>
      <w:pPr>
        <w:spacing w:after="80"/>
      </w:pPr>
    </w:p>
    <w:p>
      <w:pPr>
        <w:pStyle w:val="Heading2"/>
        <w:spacing w:before="280" w:after="120"/>
      </w:pPr>
      <w:r>
        <w:rPr>
          <w:rFonts w:ascii="Arial" w:cs="Arial" w:eastAsia="Arial" w:hAnsi="Arial"/>
          <w:b/>
          <w:bCs/>
          <w:sz w:val="24"/>
          <w:szCs w:val="24"/>
        </w:rPr>
        <w:t xml:space="preserve">Exercise 3.3: Solvent Effect (Optional, time permitting)</w:t>
      </w:r>
    </w:p>
    <w:p>
      <w:pPr>
        <w:spacing w:after="120"/>
      </w:pPr>
      <w:r>
        <w:rPr>
          <w:rFonts w:ascii="Arial" w:cs="Arial" w:eastAsia="Arial" w:hAnsi="Arial"/>
          <w:sz w:val="20"/>
          <w:szCs w:val="20"/>
        </w:rPr>
        <w:t xml:space="preserve">If time allows, re-run the complete workflow (Stages 3-5 and plotting) using a different solvent to observe the solvatochromic shift of the PNA absorption band. For example, re-optimize and compute the spectrum in cyclohexane (a nonpolar solvent):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 Re-run Stage 3 with cyclohexane</w:t>
            </w:r>
          </w:p>
          <w:p>
            <w:pPr>
              <w:spacing w:after="20"/>
            </w:pPr>
            <w:r>
              <w:rPr>
                <w:rFonts w:ascii="Courier New" w:cs="Courier New" w:eastAsia="Courier New" w:hAnsi="Courier New"/>
                <w:sz w:val="17"/>
                <w:szCs w:val="17"/>
              </w:rPr>
              <w:t xml:space="preserve">./4-orca-solvent-opt.sh --method B3LYP --disp D3BJ --basis def2-SVP \</w:t>
            </w:r>
          </w:p>
          <w:p>
            <w:pPr>
              <w:spacing w:after="20"/>
            </w:pPr>
            <w:r>
              <w:rPr>
                <w:rFonts w:ascii="Courier New" w:cs="Courier New" w:eastAsia="Courier New" w:hAnsi="Courier New"/>
                <w:sz w:val="17"/>
                <w:szCs w:val="17"/>
              </w:rPr>
              <w:t xml:space="preserve">    --solvent cyclohexane --cpus 4 molecules.txt</w:t>
            </w:r>
          </w:p>
          <w:p>
            <w:pPr>
              <w:spacing w:after="20"/>
            </w:pPr>
            <w:r>
              <w:rPr>
                <w:rFonts w:ascii="Courier New" w:cs="Courier New" w:eastAsia="Courier New" w:hAnsi="Courier New"/>
                <w:sz w:val="17"/>
                <w:szCs w:val="17"/>
              </w:rPr>
              <w:t xml:space="preserve"/>
            </w:r>
          </w:p>
          <w:p>
            <w:pPr>
              <w:spacing w:after="20"/>
            </w:pPr>
            <w:r>
              <w:rPr>
                <w:rFonts w:ascii="Courier New" w:cs="Courier New" w:eastAsia="Courier New" w:hAnsi="Courier New"/>
                <w:sz w:val="17"/>
                <w:szCs w:val="17"/>
              </w:rPr>
              <w:t xml:space="preserve"># Then re-run Stages 4-5 and re-plot with the same solvent</w:t>
            </w:r>
          </w:p>
          <w:p>
            <w:pPr>
              <w:spacing w:after="20"/>
            </w:pPr>
            <w:r>
              <w:rPr>
                <w:rFonts w:ascii="Courier New" w:cs="Courier New" w:eastAsia="Courier New" w:hAnsi="Courier New"/>
                <w:sz w:val="17"/>
                <w:szCs w:val="17"/>
              </w:rPr>
              <w:t xml:space="preserve">./6-orca-ecd.sh --method wB97X-D3 --basis def2-TZVP \</w:t>
            </w:r>
          </w:p>
          <w:p>
            <w:pPr>
              <w:spacing w:after="20"/>
            </w:pPr>
            <w:r>
              <w:rPr>
                <w:rFonts w:ascii="Courier New" w:cs="Courier New" w:eastAsia="Courier New" w:hAnsi="Courier New"/>
                <w:sz w:val="17"/>
                <w:szCs w:val="17"/>
              </w:rPr>
              <w:t xml:space="preserve">    --solvent cyclohexane --roots 20 --cpus 4 molecules.txt</w:t>
            </w:r>
          </w:p>
        </w:tc>
      </w:tr>
    </w:tbl>
    <w:p>
      <w:pPr>
        <w:spacing w:after="120"/>
      </w:pPr>
      <w:r>
        <w:rPr>
          <w:rFonts w:ascii="Arial" w:cs="Arial" w:eastAsia="Arial" w:hAnsi="Arial"/>
          <w:sz w:val="20"/>
          <w:szCs w:val="20"/>
        </w:rPr>
        <w:t xml:space="preserve">The experimental PNA absorption maximum shifts from ~370 nm in water to ~310 nm in cyclohexane. Does your computed shift agree qualitatively?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40"/>
            </w:pPr>
            <w:r>
              <w:rPr>
                <w:rFonts w:ascii="Arial" w:cs="Arial" w:eastAsia="Arial" w:hAnsi="Arial"/>
                <w:b/>
                <w:bCs/>
                <w:sz w:val="20"/>
                <w:szCs w:val="20"/>
              </w:rPr>
              <w:t xml:space="preserve">Discussion Question 6: </w:t>
            </w:r>
            <w:r>
              <w:rPr>
                <w:rFonts w:ascii="Arial" w:cs="Arial" w:eastAsia="Arial" w:hAnsi="Arial"/>
                <w:sz w:val="20"/>
                <w:szCs w:val="20"/>
              </w:rPr>
              <w:t xml:space="preserve">PNA exhibits strong positive solvatochromism (the absorption band red-shifts in polar solvents). What is the physical origin of this effect? How well does the SMD model capture it, and what limitations might an implicit solvent model have for this system?</w:t>
            </w:r>
          </w:p>
        </w:tc>
      </w:tr>
    </w:tbl>
    <w:p>
      <w:pPr>
        <w:spacing w:after="80"/>
      </w:pPr>
    </w:p>
    <w:p>
      <w:pPr>
        <w:pStyle w:val="Heading2"/>
        <w:spacing w:before="280" w:after="120"/>
      </w:pPr>
      <w:r>
        <w:rPr>
          <w:rFonts w:ascii="Arial" w:cs="Arial" w:eastAsia="Arial" w:hAnsi="Arial"/>
          <w:b/>
          <w:bCs/>
          <w:sz w:val="24"/>
          <w:szCs w:val="24"/>
        </w:rPr>
        <w:t xml:space="preserve">Exercise 3.4: Solvent Model Comparison (Optional, time permitting)</w:t>
      </w:r>
    </w:p>
    <w:p>
      <w:pPr>
        <w:spacing w:after="120"/>
      </w:pPr>
      <w:r>
        <w:rPr>
          <w:rFonts w:ascii="Arial" w:cs="Arial" w:eastAsia="Arial" w:hAnsi="Arial"/>
          <w:sz w:val="20"/>
          <w:szCs w:val="20"/>
        </w:rPr>
        <w:t xml:space="preserve">Your Exercise 3.1 runs already used SMD by default, which adds short-range non-electrostatic terms (cavitation, dispersion, and solvent structure) on top of the CPCM dielectric cavity. In this exercise you will strip those terms away and re-run B3LYP and CAM-B3LYP with pure CPCM (electrostatics only) to isolate their contribution to the predicted absorption maximum. Because the solvent model affects both the geometry and the electronic structure, Stage 3 must be re-run before Stage 6.</w:t>
      </w:r>
    </w:p>
    <w:p>
      <w:pPr>
        <w:spacing w:after="120"/>
      </w:pPr>
      <w:r>
        <w:rPr>
          <w:rFonts w:ascii="Arial" w:cs="Arial" w:eastAsia="Arial" w:hAnsi="Arial"/>
          <w:sz w:val="20"/>
          <w:szCs w:val="20"/>
        </w:rPr>
        <w:t xml:space="preserve">Re-run Stage 3 with pure CPCM, then re-run Stage 4 (Boltzmann weighting), and finally re-run Stage 6 twice—once for B3LYP and once for CAM-B3LYP. Use the mv approach from Exercise 3.1 to preserve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 Re-run Stage 3 with pure CPCM</w:t>
            </w:r>
          </w:p>
          <w:p>
            <w:pPr>
              <w:spacing w:after="20"/>
            </w:pPr>
            <w:r>
              <w:rPr>
                <w:rFonts w:ascii="Courier New" w:cs="Courier New" w:eastAsia="Courier New" w:hAnsi="Courier New"/>
                <w:sz w:val="17"/>
                <w:szCs w:val="17"/>
              </w:rPr>
              <w:t xml:space="preserve">./4-orca-solvent-opt.sh --method B3LYP --disp D3BJ --basis def2-SVP \</w:t>
            </w:r>
          </w:p>
          <w:p>
            <w:pPr>
              <w:spacing w:after="20"/>
            </w:pPr>
            <w:r>
              <w:rPr>
                <w:rFonts w:ascii="Courier New" w:cs="Courier New" w:eastAsia="Courier New" w:hAnsi="Courier New"/>
                <w:sz w:val="17"/>
                <w:szCs w:val="17"/>
              </w:rPr>
              <w:t xml:space="preserve">    --solvent water --solvent-model cpcm --cpus 4 molecules.txt</w:t>
            </w:r>
          </w:p>
          <w:p>
            <w:pPr>
              <w:spacing w:after="20"/>
            </w:pPr>
            <w:r>
              <w:rPr>
                <w:rFonts w:ascii="Courier New" w:cs="Courier New" w:eastAsia="Courier New" w:hAnsi="Courier New"/>
                <w:sz w:val="17"/>
                <w:szCs w:val="17"/>
              </w:rPr>
              <w:t xml:space="preserve"># Re-run Stage 4 (Boltzmann weighting)</w:t>
            </w:r>
          </w:p>
          <w:p>
            <w:pPr>
              <w:spacing w:after="20"/>
            </w:pPr>
            <w:r>
              <w:rPr>
                <w:rFonts w:ascii="Courier New" w:cs="Courier New" w:eastAsia="Courier New" w:hAnsi="Courier New"/>
                <w:sz w:val="17"/>
                <w:szCs w:val="17"/>
              </w:rPr>
              <w:t xml:space="preserve">./5-orca-boltzmann-weight.sh --temp 298.15 --p-cut 0.01 molecules.txt</w:t>
            </w:r>
          </w:p>
          <w:p>
            <w:pPr>
              <w:spacing w:after="20"/>
            </w:pPr>
            <w:r>
              <w:rPr>
                <w:rFonts w:ascii="Courier New" w:cs="Courier New" w:eastAsia="Courier New" w:hAnsi="Courier New"/>
                <w:sz w:val="17"/>
                <w:szCs w:val="17"/>
              </w:rPr>
              <w:t xml:space="preserve"># Run Stage 6 with B3LYP/CPCM, then rename</w:t>
            </w:r>
          </w:p>
          <w:p>
            <w:pPr>
              <w:spacing w:after="20"/>
            </w:pPr>
            <w:r>
              <w:rPr>
                <w:rFonts w:ascii="Courier New" w:cs="Courier New" w:eastAsia="Courier New" w:hAnsi="Courier New"/>
                <w:sz w:val="17"/>
                <w:szCs w:val="17"/>
              </w:rPr>
              <w:t xml:space="preserve">./6-orca-ecd.sh --method B3LYP --basis def2-TZVP \</w:t>
            </w:r>
          </w:p>
          <w:p>
            <w:pPr>
              <w:spacing w:after="20"/>
            </w:pPr>
            <w:r>
              <w:rPr>
                <w:rFonts w:ascii="Courier New" w:cs="Courier New" w:eastAsia="Courier New" w:hAnsi="Courier New"/>
                <w:sz w:val="17"/>
                <w:szCs w:val="17"/>
              </w:rPr>
              <w:t xml:space="preserve">    --solvent water --solvent-model cpcm --roots 20 --cpus 4 molecules.txt</w:t>
            </w:r>
          </w:p>
          <w:p>
            <w:pPr>
              <w:spacing w:after="20"/>
            </w:pPr>
            <w:r>
              <w:rPr>
                <w:rFonts w:ascii="Courier New" w:cs="Courier New" w:eastAsia="Courier New" w:hAnsi="Courier New"/>
                <w:sz w:val="17"/>
                <w:szCs w:val="17"/>
              </w:rPr>
              <w:t xml:space="preserve">mv pna/05_ecd pna/05_ecd_b3lyp_cpcm</w:t>
            </w:r>
          </w:p>
          <w:p>
            <w:pPr>
              <w:spacing w:after="20"/>
            </w:pPr>
            <w:r>
              <w:rPr>
                <w:rFonts w:ascii="Courier New" w:cs="Courier New" w:eastAsia="Courier New" w:hAnsi="Courier New"/>
                <w:sz w:val="17"/>
                <w:szCs w:val="17"/>
              </w:rPr>
              <w:t xml:space="preserve"># Run Stage 6 with CAM-B3LYP/CPCM, then rename</w:t>
            </w:r>
          </w:p>
          <w:p>
            <w:pPr>
              <w:spacing w:after="20"/>
            </w:pPr>
            <w:r>
              <w:rPr>
                <w:rFonts w:ascii="Courier New" w:cs="Courier New" w:eastAsia="Courier New" w:hAnsi="Courier New"/>
                <w:sz w:val="17"/>
                <w:szCs w:val="17"/>
              </w:rPr>
              <w:t xml:space="preserve">./6-orca-ecd.sh --method CAM-B3LYP --basis def2-TZVP \</w:t>
            </w:r>
          </w:p>
          <w:p>
            <w:pPr>
              <w:spacing w:after="20"/>
            </w:pPr>
            <w:r>
              <w:rPr>
                <w:rFonts w:ascii="Courier New" w:cs="Courier New" w:eastAsia="Courier New" w:hAnsi="Courier New"/>
                <w:sz w:val="17"/>
                <w:szCs w:val="17"/>
              </w:rPr>
              <w:t xml:space="preserve">    --solvent water --solvent-model cpcm --roots 20 --cpus 4 molecules.txt</w:t>
            </w:r>
          </w:p>
          <w:p>
            <w:pPr>
              <w:spacing w:after="20"/>
            </w:pPr>
            <w:r>
              <w:rPr>
                <w:rFonts w:ascii="Courier New" w:cs="Courier New" w:eastAsia="Courier New" w:hAnsi="Courier New"/>
                <w:sz w:val="17"/>
                <w:szCs w:val="17"/>
              </w:rPr>
              <w:t xml:space="preserve">mv pna/05_ecd pna/05_ecd_camb3lyp_cpcm</w:t>
            </w:r>
          </w:p>
        </w:tc>
      </w:tr>
    </w:tbl>
    <w:p>
      <w:pPr>
        <w:spacing w:after="120"/>
      </w:pPr>
      <w:r>
        <w:rPr>
          <w:rFonts w:ascii="Arial" w:cs="Arial" w:eastAsia="Arial" w:hAnsi="Arial"/>
          <w:sz w:val="20"/>
          <w:szCs w:val="20"/>
        </w:rPr>
        <w:t xml:space="preserve">Compare your CPCM results with the SMD results from Exercise 3.1 and record the shift in λmax for each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40"/>
            </w:pPr>
            <w:r>
              <w:rPr>
                <w:rFonts w:ascii="Arial" w:cs="Arial" w:eastAsia="Arial" w:hAnsi="Arial"/>
                <w:b/>
                <w:bCs/>
                <w:sz w:val="20"/>
                <w:szCs w:val="20"/>
              </w:rPr>
              <w:t xml:space="preserve">Discussion Question 7: </w:t>
            </w:r>
            <w:r>
              <w:rPr>
                <w:rFonts w:ascii="Arial" w:cs="Arial" w:eastAsia="Arial" w:hAnsi="Arial"/>
                <w:sz w:val="20"/>
                <w:szCs w:val="20"/>
              </w:rPr>
              <w:t xml:space="preserve">Does switching from SMD to pure CPCM produce a meaningful change in the predicted absorption maximum for B3LYP and CAM-B3LYP? Is the effect larger for the functional with the smaller error (B3LYP) or the larger error (CAM-B3LYP)? What physical terms does SMD include that CPCM omits, and how might those terms be particularly important for PNA in water?</w:t>
            </w:r>
          </w:p>
        </w:tc>
      </w:tr>
    </w:tbl>
    <w:p>
      <w:pPr>
        <w:spacing w:after="80"/>
      </w:pPr>
    </w:p>
    <w:p>
      <w:pPr>
        <w:pStyle w:val="Heading1"/>
        <w:spacing w:before="360" w:after="160"/>
      </w:pPr>
      <w:r>
        <w:rPr>
          <w:rFonts w:ascii="Arial" w:cs="Arial" w:eastAsia="Arial" w:hAnsi="Arial"/>
          <w:b/>
          <w:bCs/>
          <w:sz w:val="28"/>
          <w:szCs w:val="28"/>
        </w:rPr>
        <w:t xml:space="preserve">Part 4: Summary and Report Preparation</w:t>
      </w:r>
    </w:p>
    <w:p>
      <w:pPr>
        <w:spacing w:after="120"/>
      </w:pPr>
      <w:r>
        <w:rPr>
          <w:rFonts w:ascii="Arial" w:cs="Arial" w:eastAsia="Arial" w:hAnsi="Arial"/>
          <w:sz w:val="20"/>
          <w:szCs w:val="20"/>
        </w:rPr>
        <w:t xml:space="preserve">Compile your results into a short report (2-3 pages) that includes the following elements:</w:t>
      </w:r>
    </w:p>
    <w:p>
      <w:pPr>
        <w:pStyle w:val="ListParagraph"/>
        <w:numPr>
          <w:ilvl w:val="0"/>
          <w:numId w:val="2"/>
        </w:numPr>
        <w:spacing w:after="80"/>
      </w:pPr>
      <w:r>
        <w:rPr>
          <w:rFonts w:ascii="Arial" w:cs="Arial" w:eastAsia="Arial" w:hAnsi="Arial"/>
          <w:sz w:val="20"/>
          <w:szCs w:val="20"/>
        </w:rPr>
        <w:t xml:space="preserve">A brief description of the molecule and the computational workflow you used.</w:t>
      </w:r>
    </w:p>
    <w:p>
      <w:pPr>
        <w:pStyle w:val="ListParagraph"/>
        <w:numPr>
          <w:ilvl w:val="0"/>
          <w:numId w:val="2"/>
        </w:numPr>
        <w:spacing w:after="80"/>
      </w:pPr>
      <w:r>
        <w:rPr>
          <w:rFonts w:ascii="Arial" w:cs="Arial" w:eastAsia="Arial" w:hAnsi="Arial"/>
          <w:sz w:val="20"/>
          <w:szCs w:val="20"/>
        </w:rPr>
        <w:t xml:space="preserve">Your functional benchmarking table (from Exercise 3.1) with a discussion of the trends you observed.</w:t>
      </w:r>
    </w:p>
    <w:p>
      <w:pPr>
        <w:pStyle w:val="ListParagraph"/>
        <w:numPr>
          <w:ilvl w:val="0"/>
          <w:numId w:val="2"/>
        </w:numPr>
        <w:spacing w:after="80"/>
      </w:pPr>
      <w:r>
        <w:rPr>
          <w:rFonts w:ascii="Arial" w:cs="Arial" w:eastAsia="Arial" w:hAnsi="Arial"/>
          <w:sz w:val="20"/>
          <w:szCs w:val="20"/>
        </w:rPr>
        <w:t xml:space="preserve">Your basis set convergence results (from Exercise 3.2).</w:t>
      </w:r>
    </w:p>
    <w:p>
      <w:pPr>
        <w:pStyle w:val="ListParagraph"/>
        <w:numPr>
          <w:ilvl w:val="0"/>
          <w:numId w:val="2"/>
        </w:numPr>
        <w:spacing w:after="80"/>
      </w:pPr>
      <w:r>
        <w:rPr>
          <w:rFonts w:ascii="Arial" w:cs="Arial" w:eastAsia="Arial" w:hAnsi="Arial"/>
          <w:sz w:val="20"/>
          <w:szCs w:val="20"/>
        </w:rPr>
        <w:t xml:space="preserve">At least one figure showing your computed UV-Vis spectrum overlaid with or compared to the experimental reference.</w:t>
      </w:r>
    </w:p>
    <w:p>
      <w:pPr>
        <w:pStyle w:val="ListParagraph"/>
        <w:numPr>
          <w:ilvl w:val="0"/>
          <w:numId w:val="2"/>
        </w:numPr>
        <w:spacing w:after="80"/>
      </w:pPr>
      <w:r>
        <w:rPr>
          <w:rFonts w:ascii="Arial" w:cs="Arial" w:eastAsia="Arial" w:hAnsi="Arial"/>
          <w:sz w:val="20"/>
          <w:szCs w:val="20"/>
        </w:rPr>
        <w:t xml:space="preserve">A justified recommendation for the best functional/basis set combination for this system, supported by your data and by reference to at least one benchmarking paper.</w:t>
      </w:r>
    </w:p>
    <w:p>
      <w:pPr>
        <w:spacing w:after="120"/>
      </w:pPr>
    </w:p>
    <w:p>
      <w:pPr>
        <w:pStyle w:val="Heading2"/>
        <w:spacing w:before="280" w:after="120"/>
      </w:pPr>
      <w:r>
        <w:rPr>
          <w:rFonts w:ascii="Arial" w:cs="Arial" w:eastAsia="Arial" w:hAnsi="Arial"/>
          <w:b/>
          <w:bCs/>
          <w:sz w:val="24"/>
          <w:szCs w:val="24"/>
        </w:rPr>
        <w:t xml:space="preserve">Key References</w:t>
      </w:r>
    </w:p>
    <w:p>
      <w:pPr>
        <w:pStyle w:val="ListParagraph"/>
        <w:numPr>
          <w:ilvl w:val="0"/>
          <w:numId w:val="3"/>
        </w:numPr>
        <w:spacing w:after="60"/>
      </w:pPr>
      <w:r>
        <w:rPr>
          <w:rFonts w:ascii="Arial" w:cs="Arial" w:eastAsia="Arial" w:hAnsi="Arial"/>
          <w:sz w:val="20"/>
          <w:szCs w:val="20"/>
        </w:rPr>
        <w:t xml:space="preserve">Laurent, A. D.; Jacquemin, D. TD-DFT Benchmarks: A Review. Int. J. Quantum Chem. 2013, 113, 2019-2039.</w:t>
      </w:r>
    </w:p>
    <w:p>
      <w:pPr>
        <w:pStyle w:val="ListParagraph"/>
        <w:numPr>
          <w:ilvl w:val="0"/>
          <w:numId w:val="3"/>
        </w:numPr>
        <w:spacing w:after="60"/>
      </w:pPr>
      <w:r>
        <w:rPr>
          <w:rFonts w:ascii="Arial" w:cs="Arial" w:eastAsia="Arial" w:hAnsi="Arial"/>
          <w:sz w:val="20"/>
          <w:szCs w:val="20"/>
        </w:rPr>
        <w:t xml:space="preserve">Bursch, M.; Mewes, J.-M.; Hansen, A.; Grimme, S. Best-Practice DFT Protocols for Basic Molecular Computational Chemistry. Angew. Chem. Int. Ed. 2023, 62, e202205735.</w:t>
      </w:r>
    </w:p>
    <w:p>
      <w:pPr>
        <w:pStyle w:val="ListParagraph"/>
        <w:numPr>
          <w:ilvl w:val="0"/>
          <w:numId w:val="3"/>
        </w:numPr>
        <w:spacing w:after="60"/>
      </w:pPr>
      <w:r>
        <w:rPr>
          <w:rFonts w:ascii="Arial" w:cs="Arial" w:eastAsia="Arial" w:hAnsi="Arial"/>
          <w:sz w:val="20"/>
          <w:szCs w:val="20"/>
        </w:rPr>
        <w:t xml:space="preserve">Guido, C. A.; Jacquemin, D.; Adamo, C.; Mennucci, B. Electronic Excitations in Solution. J. Chem. Theory Comput. 2015, 11, 5782-5790.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160"/>
            </w:tcMar>
          </w:tcPr>
          <w:p>
            <w:pPr>
              <w:spacing w:after="60"/>
            </w:pPr>
            <w:r>
              <w:rPr>
                <w:rFonts w:ascii="Arial" w:cs="Arial" w:eastAsia="Arial" w:hAnsi="Arial"/>
                <w:b/>
                <w:bCs/>
                <w:sz w:val="20"/>
                <w:szCs w:val="20"/>
              </w:rPr>
              <w:t xml:space="preserve">Script Quick Reference</w:t>
            </w:r>
          </w:p>
          <w:p>
            <w:pPr>
              <w:spacing w:after="40"/>
            </w:pPr>
            <w:r>
              <w:rPr>
                <w:rFonts w:ascii="Arial" w:cs="Arial" w:eastAsia="Arial" w:hAnsi="Arial"/>
                <w:sz w:val="19"/>
                <w:szCs w:val="19"/>
              </w:rPr>
              <w:t xml:space="preserve">Stage 1: ./1-orca-init-opt.sh [--method --basis --disp --cpus] molecules.txt</w:t>
            </w:r>
          </w:p>
          <w:p>
            <w:pPr>
              <w:spacing w:after="40"/>
            </w:pPr>
            <w:r>
              <w:rPr>
                <w:rFonts w:ascii="Arial" w:cs="Arial" w:eastAsia="Arial" w:hAnsi="Arial"/>
                <w:sz w:val="19"/>
                <w:szCs w:val="19"/>
              </w:rPr>
              <w:t xml:space="preserve">Stage 2: ./2-orca-conf-search.sh [--ecut --conf] molecules.txt</w:t>
            </w:r>
          </w:p>
          <w:p>
            <w:pPr>
              <w:spacing w:after="40"/>
            </w:pPr>
            <w:r>
              <w:rPr>
                <w:rFonts w:ascii="Arial" w:cs="Arial" w:eastAsia="Arial" w:hAnsi="Arial"/>
                <w:sz w:val="19"/>
                <w:szCs w:val="19"/>
              </w:rPr>
              <w:t xml:space="preserve">Stage 4: ./4-orca-solvent-opt.sh [--method --basis --disp --solvent --cpus] molecules.txt</w:t>
            </w:r>
          </w:p>
          <w:p>
            <w:pPr>
              <w:spacing w:after="40"/>
            </w:pPr>
            <w:r>
              <w:rPr>
                <w:rFonts w:ascii="Arial" w:cs="Arial" w:eastAsia="Arial" w:hAnsi="Arial"/>
                <w:sz w:val="19"/>
                <w:szCs w:val="19"/>
              </w:rPr>
              <w:t xml:space="preserve">Stage 5: ./5-orca-boltzmann-weight.sh [--temp --p-cut] molecules.txt</w:t>
            </w:r>
          </w:p>
          <w:p>
            <w:pPr>
              <w:spacing w:after="40"/>
            </w:pPr>
            <w:r>
              <w:rPr>
                <w:rFonts w:ascii="Arial" w:cs="Arial" w:eastAsia="Arial" w:hAnsi="Arial"/>
                <w:sz w:val="19"/>
                <w:szCs w:val="19"/>
              </w:rPr>
              <w:t xml:space="preserve">Stage 6: ./6-orca-ecd.sh [--method --basis --disp --solvent --roots --cpus] molecules.txt</w:t>
            </w:r>
          </w:p>
          <w:p>
            <w:pPr>
              <w:spacing w:after="40"/>
            </w:pPr>
            <w:r>
              <w:rPr>
                <w:rFonts w:ascii="Arial" w:cs="Arial" w:eastAsia="Arial" w:hAnsi="Arial"/>
                <w:sz w:val="19"/>
                <w:szCs w:val="19"/>
              </w:rPr>
              <w:t xml:space="preserve">Plot: python3 or_ecd_uvvis_tools.py pna/05_ecd/**/*.log --bw pna/04_boltzmann/pna_energies.dat --outdir pna --stick --flip_x</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2026-02-09T04:59:58.377Z</dcterms:created>
  <dcterms:modified xsi:type="dcterms:W3CDTF">2026-02-09T04:59:58.378Z</dcterms:modified>
</cp:coreProperties>
</file>

<file path=docProps/custom.xml><?xml version="1.0" encoding="utf-8"?>
<Properties xmlns="http://schemas.openxmlformats.org/officeDocument/2006/custom-properties" xmlns:vt="http://schemas.openxmlformats.org/officeDocument/2006/docPropsVTypes"/>
</file>