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Instructor Lesson Plan</w:t>
      </w:r>
    </w:p>
    <w:p>
      <w:pPr>
        <w:pStyle w:val="Subtitle"/>
      </w:pPr>
      <w:r>
        <w:t xml:space="preserve">Computational Electronic and Vibrational Spectroscopy Module</w:t>
      </w:r>
    </w:p>
    <w:bookmarkStart w:id="9" w:name="module-overview"/>
    <w:p>
      <w:pPr>
        <w:pStyle w:val="Heading1"/>
      </w:pPr>
      <w:r>
        <w:t xml:space="preserve">Module Overview</w:t>
      </w:r>
    </w:p>
    <w:p>
      <w:pPr>
        <w:pStyle w:val="FirstParagraph"/>
      </w:pPr>
      <w:r>
        <w:t>This module introduces graduate students to DFT-based spectral simulation through three independent laboratory sessions. Each session focuses on a different spectroscopic technique and molecule, but all three share the same upstream computational pipeline. Sessions can be run in any order or combination; each is self-contained with its own handout and report template.</w:t>
      </w:r>
    </w:p>
    <w:bookmarkEnd w:id="9"/>
    <w:bookmarkStart w:id="10" w:name="intended-audience-and-course-contexts"/>
    <w:p>
      <w:pPr>
        <w:pStyle w:val="Heading1"/>
      </w:pPr>
      <w:r>
        <w:t xml:space="preserve">Intended Audience and Course Contexts</w:t>
      </w:r>
    </w:p>
    <w:p>
      <w:pPr>
        <w:pStyle w:val="FirstParagraph"/>
      </w:pPr>
      <w:r>
        <w:t>The primary audience is chemistry graduate students who have completed at least one graduate-level course in quantum mechanics or computational chemistry. Students should have working knowledge of density functional theory at the conceptual level (what a functional is, what a basis set is, what geometry optimization means) but do not need prior experience running quantum chemistry software.</w:t>
      </w:r>
    </w:p>
    <w:p>
      <w:pPr>
        <w:pStyle w:val="BodyText"/>
      </w:pPr>
      <w:r>
        <w:t xml:space="preserve">The module fits naturally into the following settings:</w:t>
      </w:r>
    </w:p>
    <w:p>
      <w:pPr>
        <w:pStyle w:val="Compact"/>
        <w:numPr>
          <w:ilvl w:val="0"/>
          <w:numId w:val="1001"/>
        </w:numPr>
      </w:pPr>
      <w:r>
        <w:t xml:space="preserve">A graduate computational chemistry elective (all three sessions, spread over two to three weeks)</w:t>
      </w:r>
    </w:p>
    <w:p>
      <w:pPr>
        <w:pStyle w:val="Compact"/>
        <w:numPr>
          <w:ilvl w:val="0"/>
          <w:numId w:val="1001"/>
        </w:numPr>
      </w:pPr>
      <w:r>
        <w:t xml:space="preserve">A spectroscopy methods course (Session 1 for UV-Vis context, Session 3 for IR/VCD)</w:t>
      </w:r>
    </w:p>
    <w:p>
      <w:pPr>
        <w:pStyle w:val="Compact"/>
        <w:numPr>
          <w:ilvl w:val="0"/>
          <w:numId w:val="1001"/>
        </w:numPr>
      </w:pPr>
      <w:r>
        <w:t xml:space="preserve">A research techniques seminar (any session, particularly useful for new group members entering a computational lab)</w:t>
      </w:r>
    </w:p>
    <w:p>
      <w:pPr>
        <w:pStyle w:val="Compact"/>
        <w:numPr>
          <w:ilvl w:val="0"/>
          <w:numId w:val="1001"/>
        </w:numPr>
      </w:pPr>
      <w:r>
        <w:t xml:space="preserve">A physical chemistry laboratory sequence (Sessions 1 or 3 as standalone computational experiments)</w:t>
      </w:r>
    </w:p>
    <w:p>
      <w:pPr>
        <w:pStyle w:val="Compact"/>
        <w:numPr>
          <w:ilvl w:val="0"/>
          <w:numId w:val="1001"/>
        </w:numPr>
      </w:pPr>
      <w:r>
        <w:t xml:space="preserve">A graduate organic chemistry course covering chiroptical methods (Sessions 2 or 3)</w:t>
      </w:r>
    </w:p>
    <w:p>
      <w:pPr>
        <w:pStyle w:val="FirstParagraph"/>
      </w:pPr>
      <w:r>
        <w:t>With appropriate scaffolding, Sessions 1 and 3 are accessible to advanced undergraduates in a physical chemistry course or a spectroscopy elective. Session 2 involves more moving parts (two conformer search tools, Boltzmann averaging, and absolute configuration reasoning) and works best with students who have some prior computational exposure.</w:t>
      </w:r>
    </w:p>
    <w:bookmarkEnd w:id="10"/>
    <w:bookmarkStart w:id="11" w:name="prerequisite-knowledge"/>
    <w:p>
      <w:pPr>
        <w:pStyle w:val="Heading1"/>
      </w:pPr>
      <w:r>
        <w:t xml:space="preserve">Prerequisite Knowledge</w:t>
      </w:r>
    </w:p>
    <w:p>
      <w:pPr>
        <w:pStyle w:val="FirstParagraph"/>
      </w:pPr>
      <w:r>
        <w:t xml:space="preserve">Students should be comfortable with:</w:t>
      </w:r>
    </w:p>
    <w:p>
      <w:pPr>
        <w:pStyle w:val="Compact"/>
        <w:numPr>
          <w:ilvl w:val="0"/>
          <w:numId w:val="1002"/>
        </w:numPr>
      </w:pPr>
      <w:r>
        <w:rPr>
          <w:b/>
          <w:bCs/>
        </w:rPr>
        <w:t xml:space="preserve">Basic DFT concepts:</w:t>
      </w:r>
      <w:r>
        <w:t xml:space="preserve"> what a functional and basis set are, the meaning of geometry optimization, and the relationship between electronic energy and molecular structure</w:t>
      </w:r>
    </w:p>
    <w:p>
      <w:pPr>
        <w:pStyle w:val="Compact"/>
        <w:numPr>
          <w:ilvl w:val="0"/>
          <w:numId w:val="1002"/>
        </w:numPr>
      </w:pPr>
      <w:r>
        <w:rPr>
          <w:b/>
          <w:bCs/>
        </w:rPr>
        <w:t xml:space="preserve">Molecular orbital theory</w:t>
      </w:r>
      <w:r>
        <w:t xml:space="preserve"> at the level of HOMO/LUMO, orbital symmetry, and what drives UV-Vis absorption in organic chromophores</w:t>
      </w:r>
    </w:p>
    <w:p>
      <w:pPr>
        <w:pStyle w:val="Compact"/>
        <w:numPr>
          <w:ilvl w:val="0"/>
          <w:numId w:val="1002"/>
        </w:numPr>
      </w:pPr>
      <w:r>
        <w:rPr>
          <w:b/>
          <w:bCs/>
        </w:rPr>
        <w:t xml:space="preserve">Fundamental spectroscopy:</w:t>
      </w:r>
      <w:r>
        <w:t xml:space="preserve"> Beer-Lambert law, the relationship between molecular vibrations and IR absorption, and what circular dichroism measures at a conceptual level</w:t>
      </w:r>
    </w:p>
    <w:p>
      <w:pPr>
        <w:pStyle w:val="Compact"/>
        <w:numPr>
          <w:ilvl w:val="0"/>
          <w:numId w:val="1002"/>
        </w:numPr>
      </w:pPr>
      <w:r>
        <w:rPr>
          <w:b/>
          <w:bCs/>
        </w:rPr>
        <w:t xml:space="preserve">Linux or Mac command line:</w:t>
      </w:r>
      <w:r>
        <w:t xml:space="preserve"> navigating directories (cd, ls), running shell scripts, and setting environment variables (PATH)</w:t>
      </w:r>
    </w:p>
    <w:p>
      <w:pPr>
        <w:pStyle w:val="FirstParagraph"/>
      </w:pPr>
      <w:r>
        <w:t>Students do not need prior experience with Q-Chem, CREST, or Open Babel. They do not need to know Python or Bash scripting. A brief orientation to the repository structure and the available script flags at the start of each session (about 10-15 minutes) is sufficient for students who use the terminal regularly but have never run quantum chemistry software before.</w:t>
      </w:r>
    </w:p>
    <w:bookmarkEnd w:id="11"/>
    <w:bookmarkStart w:id="15" w:name="Xe1466efe5438f147a787a95a3c838919addd87f"/>
    <w:p>
      <w:pPr>
        <w:pStyle w:val="Heading1"/>
      </w:pPr>
      <w:r>
        <w:t xml:space="preserve">Software Requirements and Pre-Session Setup</w:t>
      </w:r>
    </w:p>
    <w:bookmarkStart w:id="12" w:name="required-software"/>
    <w:p>
      <w:pPr>
        <w:pStyle w:val="Heading2"/>
      </w:pPr>
      <w:r>
        <w:t xml:space="preserve">Required Software</w:t>
      </w:r>
    </w:p>
    <w:p>
      <w:pPr>
        <w:pStyle w:val="FirstParagraph"/>
      </w:pPr>
      <w:r>
        <w:t xml:space="preserve">The following must be installed and accessible from the command line before the session begins:</w:t>
      </w:r>
    </w:p>
    <w:p>
      <w:pPr>
        <w:pStyle w:val="Compact"/>
        <w:numPr>
          <w:ilvl w:val="0"/>
          <w:numId w:val="1003"/>
        </w:numPr>
      </w:pPr>
      <w:r>
        <w:rPr>
          <w:b/>
          <w:bCs/>
        </w:rPr>
        <w:t>Q-Chem 6.0 or later (tested with 6.4.0): commercial quantum chemistry package; obtain an academic license from q-chem.com</w:t>
      </w:r>
    </w:p>
    <w:p>
      <w:pPr>
        <w:pStyle w:val="Compact"/>
        <w:numPr>
          <w:ilvl w:val="0"/>
          <w:numId w:val="1003"/>
        </w:numPr>
      </w:pPr>
      <w:r>
        <w:rPr>
          <w:b/>
          <w:bCs/>
        </w:rPr>
        <w:t xml:space="preserve">CREST 2.12 or later: open source; available at github.com/crest-lab/crest</w:t>
      </w:r>
    </w:p>
    <w:p>
      <w:pPr>
        <w:pStyle w:val="Compact"/>
        <w:numPr>
          <w:ilvl w:val="0"/>
          <w:numId w:val="1003"/>
        </w:numPr>
      </w:pPr>
      <w:r>
        <w:rPr>
          <w:b/>
          <w:bCs/>
        </w:rPr>
        <w:t xml:space="preserve">Open Babel 3.0 or later: open source; available at openbabel.org</w:t>
      </w:r>
    </w:p>
    <w:p>
      <w:pPr>
        <w:pStyle w:val="Compact"/>
        <w:numPr>
          <w:ilvl w:val="0"/>
          <w:numId w:val="1003"/>
        </w:numPr>
      </w:pPr>
      <w:r>
        <w:rPr>
          <w:b/>
          <w:bCs/>
        </w:rPr>
        <w:t xml:space="preserve">Python 3.6 or later</w:t>
      </w:r>
      <w:r>
        <w:t xml:space="preserve"> with NumPy, Matplotlib, and Pandas</w:t>
      </w:r>
    </w:p>
    <w:p>
      <w:pPr>
        <w:pStyle w:val="Compact"/>
        <w:numPr>
          <w:ilvl w:val="0"/>
          <w:numId w:val="1003"/>
        </w:numPr>
      </w:pPr>
      <w:r>
        <w:rPr>
          <w:b/>
          <w:bCs/>
        </w:rPr>
        <w:t xml:space="preserve">Bash 4.0 or later</w:t>
      </w:r>
    </w:p>
    <w:p>
      <w:pPr>
        <w:pStyle w:val="FirstParagraph"/>
      </w:pPr>
      <w:r>
        <w:t>Q-Chem requires a free academic license. On macOS, the system default Bash is version 3.2 and must be updated separately (Homebrew is the simplest route); this is covered in INSTALL.md. The installation guide includes a verification script that confirms all dependencies are correctly configured and that the expected binaries are on the PATH.</w:t>
      </w:r>
    </w:p>
    <w:bookmarkEnd w:id="12"/>
    <w:bookmarkStart w:id="13" w:name="recommended-preparation-timeline"/>
    <w:p>
      <w:pPr>
        <w:pStyle w:val="Heading2"/>
      </w:pPr>
      <w:r>
        <w:t xml:space="preserve">Recommended Preparation Timeline</w:t>
      </w:r>
    </w:p>
    <w:p>
      <w:pPr>
        <w:pStyle w:val="FirstParagraph"/>
      </w:pPr>
      <w:r>
        <w:rPr>
          <w:b/>
          <w:bCs/>
        </w:rPr>
        <w:t xml:space="preserve">One week before the session:</w:t>
      </w:r>
      <w:r>
        <w:t xml:space="preserve"> Run the verification script from INSTALL.md on the hardware students will use. Confirm that Q-Chem, CREST, Open Babel, and the Python dependencies all work. If using an HPC cluster, confirm that the SLURM parameters in the scripts are compatible with your scheduler configuration.</w:t>
      </w:r>
    </w:p>
    <w:p>
      <w:pPr>
        <w:pStyle w:val="BodyText"/>
      </w:pPr>
      <w:r>
        <w:rPr>
          <w:b/>
          <w:bCs/>
        </w:rPr>
        <w:t xml:space="preserve">Two to three days before:</w:t>
      </w:r>
      <w:r>
        <w:t xml:space="preserve"> Confirm that students have downloaded the repository and can locate the session handout. If a pre-session reading has been assigned (e.g., a benchmarking paper), verify that students have access to it.</w:t>
      </w:r>
    </w:p>
    <w:p>
      <w:pPr>
        <w:pStyle w:val="BodyText"/>
      </w:pPr>
      <w:r>
        <w:rPr>
          <w:b/>
          <w:bCs/>
        </w:rPr>
        <w:t xml:space="preserve">Day of session:</w:t>
      </w:r>
      <w:r>
        <w:t xml:space="preserve"> Reserve 10-15 minutes at the start for students to run the verification command, ask setup questions, and locate their handout. Have the relevant INSTALL.md section ready to share for any PATH or dependency issues.</w:t>
      </w:r>
    </w:p>
    <w:bookmarkEnd w:id="13"/>
    <w:bookmarkStart w:id="14" w:name="hardware-considerations"/>
    <w:p>
      <w:pPr>
        <w:pStyle w:val="Heading2"/>
      </w:pPr>
      <w:r>
        <w:t xml:space="preserve">Hardware Considerations</w:t>
      </w:r>
    </w:p>
    <w:p>
      <w:pPr>
        <w:pStyle w:val="FirstParagraph"/>
      </w:pPr>
      <w:r>
        <w:t xml:space="preserve">A workstation with 4-8 CPU cores can complete the full pipeline for all three target molecules within the three-hour session window. PNA (Session 1) and methyloxirane (Session 3) are small enough for a modern laptop. The ephedrine conformer search in Session 2 benefits from more cores if available. For larger class sizes running calculations simultaneously on shared hardware, or if students want to apply the workflow to larger molecules, SLURM-based HPC submission is supported by omitting the </w:t>
      </w:r>
      <w:r>
        <w:rPr>
          <w:rStyle w:val="VerbatimChar"/>
        </w:rPr>
        <w:t xml:space="preserve">--local</w:t>
      </w:r>
      <w:r>
        <w:t xml:space="preserve"> flag.</w:t>
      </w:r>
    </w:p>
    <w:p>
      <w:r>
        <w:pict>
          <v:rect style="width:0;height:1.5pt" o:hralign="center" o:hrstd="t" o:hr="t"/>
        </w:pict>
      </w:r>
    </w:p>
    <w:bookmarkEnd w:id="14"/>
    <w:bookmarkEnd w:id="15"/>
    <w:bookmarkStart w:id="20" w:name="session-1-uv-vis-benchmarking"/>
    <w:p>
      <w:pPr>
        <w:pStyle w:val="Heading1"/>
      </w:pPr>
      <w:r>
        <w:t xml:space="preserve">Session 1: UV-Vis Benchmarking</w:t>
      </w:r>
    </w:p>
    <w:p>
      <w:pPr>
        <w:pStyle w:val="FirstParagraph"/>
      </w:pPr>
      <w:r>
        <w:rPr>
          <w:b/>
          <w:bCs/>
        </w:rPr>
        <w:t xml:space="preserve">Molecule:</w:t>
      </w:r>
      <w:r>
        <w:t xml:space="preserve"> 4-nitroaniline (PNA)      </w:t>
      </w:r>
      <w:r>
        <w:rPr>
          <w:b/>
          <w:bCs/>
        </w:rPr>
        <w:t xml:space="preserve">Duration:</w:t>
      </w:r>
      <w:r>
        <w:t xml:space="preserve"> ~3 hours</w:t>
      </w:r>
    </w:p>
    <w:bookmarkStart w:id="16" w:name="why-pna"/>
    <w:p>
      <w:pPr>
        <w:pStyle w:val="Heading2"/>
      </w:pPr>
      <w:r>
        <w:t xml:space="preserve">Why PNA?</w:t>
      </w:r>
    </w:p>
    <w:p>
      <w:pPr>
        <w:pStyle w:val="FirstParagraph"/>
      </w:pPr>
      <w:r>
        <w:t>PNA has a well-characterized charge-transfer excitation that is sensitive to the fraction of Hartree-Fock exchange in the density functional. The effect on the computed spectrum is large and immediately visible when spectra from different functionals are overlaid, which makes PNA a good test case for demonstrating why functional selection matters. PNA is also rigid and achiral, so the conformer search and Boltzmann averaging stages produce a single conformer with trivial populations. Students can concentrate entirely on the electronic structure aspects of the TDDFT calculation without conformational complexity as a confounding variable.</w:t>
      </w:r>
    </w:p>
    <w:bookmarkEnd w:id="16"/>
    <w:bookmarkStart w:id="17" w:name="learning-objectives"/>
    <w:p>
      <w:pPr>
        <w:pStyle w:val="Heading2"/>
      </w:pPr>
      <w:r>
        <w:t xml:space="preserve">Learning Objectives</w:t>
      </w:r>
    </w:p>
    <w:p>
      <w:pPr>
        <w:pStyle w:val="FirstParagraph"/>
      </w:pPr>
      <w:r>
        <w:t xml:space="preserve">By the end of this session, students will be able to:</w:t>
      </w:r>
    </w:p>
    <w:p>
      <w:pPr>
        <w:pStyle w:val="Compact"/>
        <w:numPr>
          <w:ilvl w:val="0"/>
          <w:numId w:val="1004"/>
        </w:numPr>
      </w:pPr>
      <w:r>
        <w:t>Run a geometry optimization and TDDFT calculation in Q-Chem using the pipeline scripts</w:t>
      </w:r>
    </w:p>
    <w:p>
      <w:pPr>
        <w:pStyle w:val="Compact"/>
        <w:numPr>
          <w:ilvl w:val="0"/>
          <w:numId w:val="1004"/>
        </w:numPr>
      </w:pPr>
      <w:r>
        <w:t>Compare computed excitation energies and oscillator strengths across multiple density functionals and basis sets</w:t>
      </w:r>
    </w:p>
    <w:p>
      <w:pPr>
        <w:pStyle w:val="Compact"/>
        <w:numPr>
          <w:ilvl w:val="0"/>
          <w:numId w:val="1004"/>
        </w:numPr>
      </w:pPr>
      <w:r>
        <w:t xml:space="preserve">Explain why range-separated hybrids outperform global hybrids for charge-transfer excitations</w:t>
      </w:r>
    </w:p>
    <w:p>
      <w:pPr>
        <w:pStyle w:val="Compact"/>
        <w:numPr>
          <w:ilvl w:val="0"/>
          <w:numId w:val="1004"/>
        </w:numPr>
      </w:pPr>
      <w:r>
        <w:t xml:space="preserve">Assess basis set convergence for electronic excitation energies</w:t>
      </w:r>
    </w:p>
    <w:p>
      <w:pPr>
        <w:pStyle w:val="Compact"/>
        <w:numPr>
          <w:ilvl w:val="0"/>
          <w:numId w:val="1004"/>
        </w:numPr>
      </w:pPr>
      <w:r>
        <w:t xml:space="preserve">Produce a UV-Vis spectrum from a computed stick spectrum and compare it to experimental data</w:t>
      </w:r>
    </w:p>
    <w:bookmarkEnd w:id="17"/>
    <w:bookmarkStart w:id="18" w:name="suggested-timing"/>
    <w:p>
      <w:pPr>
        <w:pStyle w:val="Heading2"/>
      </w:pPr>
      <w:r>
        <w:t xml:space="preserve">Suggested Timing</w:t>
      </w:r>
    </w:p>
    <w:p>
      <w:pPr>
        <w:pStyle w:val="FirstParagraph"/>
      </w:pPr>
      <w:r>
        <w:rPr>
          <w:b/>
          <w:bCs/>
        </w:rPr>
        <w:t xml:space="preserve">0:00-0:15: Introduction and setup.</w:t>
      </w:r>
      <w:r>
        <w:t xml:space="preserve"> Review the session objectives and introduce PNA. Have students run the INSTALL.md verification script. Walk through the script flags for Stage 1 and Stage 6 (TDDFT), and show students how the </w:t>
      </w:r>
      <w:r>
        <w:rPr>
          <w:rStyle w:val="VerbatimChar"/>
        </w:rPr>
        <w:t xml:space="preserve">--dry-run</w:t>
      </w:r>
      <w:r>
        <w:t xml:space="preserve"> option works before any calculations are submitted.</w:t>
      </w:r>
    </w:p>
    <w:p>
      <w:pPr>
        <w:pStyle w:val="BodyText"/>
      </w:pPr>
      <w:r>
        <w:rPr>
          <w:b/>
          <w:bCs/>
        </w:rPr>
        <w:t xml:space="preserve">0:15-0:45: Stage 1: geometry optimization.</w:t>
      </w:r>
      <w:r>
        <w:t xml:space="preserve"> Students run the initial geometry optimization (B3LYP/def2-SVP, D3BJ). This typically takes 5-10 minutes on a modern workstation. While it runs, students read the background section of the handout and complete the pre-session survey if they have not already.</w:t>
      </w:r>
    </w:p>
    <w:p>
      <w:pPr>
        <w:pStyle w:val="BodyText"/>
      </w:pPr>
      <w:r>
        <w:rPr>
          <w:b/>
          <w:bCs/>
        </w:rPr>
        <w:t>0:45-1:30: Stage 6 (TDDFT): functional benchmarking.</w:t>
      </w:r>
      <w:r>
        <w:t xml:space="preserve"> Students run TDDFT calculations with at least three functionals (B3LYP, PBE0, CAM-B3LYP) and two basis sets (def2-SVP, def2-TZVP). Have students use </w:t>
      </w:r>
      <w:r>
        <w:rPr>
          <w:rStyle w:val="VerbatimChar"/>
        </w:rPr>
        <w:t xml:space="preserve">--dry-run</w:t>
      </w:r>
      <w:r>
        <w:t xml:space="preserve"> to inspect generated input files before submitting.</w:t>
      </w:r>
    </w:p>
    <w:p>
      <w:pPr>
        <w:pStyle w:val="BodyText"/>
      </w:pPr>
      <w:r>
        <w:rPr>
          <w:b/>
          <w:bCs/>
        </w:rPr>
        <w:t xml:space="preserve">1:30-2:15: Analysis and plotting.</w:t>
      </w:r>
      <w:r>
        <w:t xml:space="preserve"> Students use </w:t>
      </w:r>
      <w:r>
        <w:rPr>
          <w:rStyle w:val="VerbatimChar"/>
        </w:rPr>
        <w:t>qc_ecd_uvvis_tools.py</w:t>
      </w:r>
      <w:r>
        <w:t xml:space="preserve"> to generate UV-Vis spectra and populate the data tables in the handout (excitation energies, oscillator strengths, deviations from experiment). Comparing spectra across functionals is the central activity of the session.</w:t>
      </w:r>
    </w:p>
    <w:p>
      <w:pPr>
        <w:pStyle w:val="BodyText"/>
      </w:pPr>
      <w:r>
        <w:rPr>
          <w:b/>
          <w:bCs/>
        </w:rPr>
        <w:t xml:space="preserve">2:15-2:45: Discussion questions.</w:t>
      </w:r>
      <w:r>
        <w:t xml:space="preserve"> Key questions focus on the physical origin of functional dependence for charge-transfer states and on what basis set convergence means in practice. These work well as individual written responses or as brief group discussion depending on class format.</w:t>
      </w:r>
    </w:p>
    <w:p>
      <w:pPr>
        <w:pStyle w:val="BodyText"/>
      </w:pPr>
      <w:r>
        <w:rPr>
          <w:b/>
          <w:bCs/>
        </w:rPr>
        <w:t xml:space="preserve">2:45-3:00: Report and wrap-up.</w:t>
      </w:r>
      <w:r>
        <w:t xml:space="preserve"> Students begin filling out the report template. Clarify submission expectations if needed.</w:t>
      </w:r>
    </w:p>
    <w:bookmarkEnd w:id="18"/>
    <w:bookmarkStart w:id="19" w:name="common-student-difficulties"/>
    <w:p>
      <w:pPr>
        <w:pStyle w:val="Heading2"/>
      </w:pPr>
      <w:r>
        <w:t xml:space="preserve">Common Student Difficulties</w:t>
      </w:r>
    </w:p>
    <w:p>
      <w:pPr>
        <w:pStyle w:val="Compact"/>
        <w:numPr>
          <w:ilvl w:val="0"/>
          <w:numId w:val="1005"/>
        </w:numPr>
      </w:pPr>
      <w:r>
        <w:rPr>
          <w:b/>
          <w:bCs/>
        </w:rPr>
        <w:t xml:space="preserve">PATH issues:</w:t>
      </w:r>
      <w:r>
        <w:t xml:space="preserve"> if Q-Chem is not on the PATH, the scripts fail immediately with a clear error message. The INSTALL.md verification script catches this before the session if students run it. Point students to the PATH setup section of INSTALL.md when this comes up.</w:t>
      </w:r>
    </w:p>
    <w:p>
      <w:pPr>
        <w:pStyle w:val="Compact"/>
        <w:numPr>
          <w:ilvl w:val="0"/>
          <w:numId w:val="1005"/>
        </w:numPr>
      </w:pPr>
      <w:r>
        <w:rPr>
          <w:b/>
          <w:bCs/>
        </w:rPr>
        <w:t xml:space="preserve">Confusing oscillator strength with rotatory strength:</w:t>
      </w:r>
      <w:r>
        <w:t xml:space="preserve"> worth a quick verbal clarification for students who have already seen ECD.</w:t>
      </w:r>
    </w:p>
    <w:p>
      <w:pPr>
        <w:pStyle w:val="Compact"/>
        <w:numPr>
          <w:ilvl w:val="0"/>
          <w:numId w:val="1005"/>
        </w:numPr>
      </w:pPr>
      <w:r>
        <w:rPr>
          <w:b/>
          <w:bCs/>
        </w:rPr>
        <w:t xml:space="preserve">Interpreting charge-transfer states:</w:t>
      </w:r>
      <w:r>
        <w:t xml:space="preserve"> some students conflate “charge-transfer excitation” with ionic bonding in the ground state. Displaying the HOMO and LUMO for PNA in Avogadro is a quick visual fix.</w:t>
      </w:r>
    </w:p>
    <w:p>
      <w:r>
        <w:pict>
          <v:rect style="width:0;height:1.5pt" o:hralign="center" o:hrstd="t" o:hr="t"/>
        </w:pict>
      </w:r>
    </w:p>
    <w:bookmarkEnd w:id="19"/>
    <w:bookmarkEnd w:id="20"/>
    <w:bookmarkStart w:id="25" w:name="X45fd240424679d8a9e37be086fe5f040ceb4ab0"/>
    <w:p>
      <w:pPr>
        <w:pStyle w:val="Heading1"/>
      </w:pPr>
      <w:r>
        <w:t xml:space="preserve">Session 2: ECD with Conformational Averaging</w:t>
      </w:r>
    </w:p>
    <w:p>
      <w:pPr>
        <w:pStyle w:val="FirstParagraph"/>
      </w:pPr>
      <w:r>
        <w:rPr>
          <w:b/>
          <w:bCs/>
        </w:rPr>
        <w:t xml:space="preserve">Molecule:</w:t>
      </w:r>
      <w:r>
        <w:t xml:space="preserve"> Ephedrine      </w:t>
      </w:r>
      <w:r>
        <w:rPr>
          <w:b/>
          <w:bCs/>
        </w:rPr>
        <w:t xml:space="preserve">Duration:</w:t>
      </w:r>
      <w:r>
        <w:t xml:space="preserve"> ~3 hours</w:t>
      </w:r>
    </w:p>
    <w:bookmarkStart w:id="21" w:name="why-ephedrine"/>
    <w:p>
      <w:pPr>
        <w:pStyle w:val="Heading2"/>
      </w:pPr>
      <w:r>
        <w:t xml:space="preserve">Why Ephedrine?</w:t>
      </w:r>
    </w:p>
    <w:p>
      <w:pPr>
        <w:pStyle w:val="FirstParagraph"/>
      </w:pPr>
      <w:r>
        <w:t>Ephedrine has multiple rotatable bonds and two stereocenters, giving it a conformational landscape where Boltzmann averaging genuinely affects the computed ECD spectrum. Experimental ECD spectra are available in the literature for direct comparison. Running both Confab and CREST on the same molecule makes the comparison between conformer search methods concrete: students see actual differences in conformer counts and energy distributions before comparing how those differences propagate to the final spectrum.</w:t>
      </w:r>
    </w:p>
    <w:bookmarkEnd w:id="21"/>
    <w:bookmarkStart w:id="22" w:name="learning-objectives-1"/>
    <w:p>
      <w:pPr>
        <w:pStyle w:val="Heading2"/>
      </w:pPr>
      <w:r>
        <w:t xml:space="preserve">Learning Objectives</w:t>
      </w:r>
    </w:p>
    <w:p>
      <w:pPr>
        <w:pStyle w:val="FirstParagraph"/>
      </w:pPr>
      <w:r>
        <w:t xml:space="preserve">By the end of this session, students will be able to:</w:t>
      </w:r>
    </w:p>
    <w:p>
      <w:pPr>
        <w:pStyle w:val="Compact"/>
        <w:numPr>
          <w:ilvl w:val="0"/>
          <w:numId w:val="1006"/>
        </w:numPr>
      </w:pPr>
      <w:r>
        <w:t>Run parallel conformer searches using both Confab (systematic torsion sampling) and CREST (metadynamics-based exploration)</w:t>
      </w:r>
    </w:p>
    <w:p>
      <w:pPr>
        <w:pStyle w:val="Compact"/>
        <w:numPr>
          <w:ilvl w:val="0"/>
          <w:numId w:val="1006"/>
        </w:numPr>
      </w:pPr>
      <w:r>
        <w:t>Evaluate the Boltzmann population distribution and identify which conformers contribute meaningfully to the spectrum</w:t>
      </w:r>
    </w:p>
    <w:p>
      <w:pPr>
        <w:pStyle w:val="Compact"/>
        <w:numPr>
          <w:ilvl w:val="0"/>
          <w:numId w:val="1006"/>
        </w:numPr>
      </w:pPr>
      <w:r>
        <w:t>Explain how conformer search method, energy cutoff, and solvent re-optimization choices affect the resulting ECD spectrum</w:t>
      </w:r>
    </w:p>
    <w:p>
      <w:pPr>
        <w:pStyle w:val="Compact"/>
        <w:numPr>
          <w:ilvl w:val="0"/>
          <w:numId w:val="1006"/>
        </w:numPr>
      </w:pPr>
      <w:r>
        <w:t xml:space="preserve">Assign absolute configuration by comparing computed and experimental ECD sign patterns</w:t>
      </w:r>
    </w:p>
    <w:p>
      <w:pPr>
        <w:pStyle w:val="Compact"/>
        <w:numPr>
          <w:ilvl w:val="0"/>
          <w:numId w:val="1006"/>
        </w:numPr>
      </w:pPr>
      <w:r>
        <w:t>Assess when Boltzmann averaging is necessary versus trivially simple for a given molecular system</w:t>
      </w:r>
    </w:p>
    <w:bookmarkEnd w:id="22"/>
    <w:bookmarkStart w:id="23" w:name="suggested-timing-1"/>
    <w:p>
      <w:pPr>
        <w:pStyle w:val="Heading2"/>
      </w:pPr>
      <w:r>
        <w:t xml:space="preserve">Suggested Timing</w:t>
      </w:r>
    </w:p>
    <w:p>
      <w:pPr>
        <w:pStyle w:val="FirstParagraph"/>
      </w:pPr>
      <w:r>
        <w:rPr>
          <w:b/>
          <w:bCs/>
        </w:rPr>
        <w:t xml:space="preserve">0:00-0:15: Introduction and setup.</w:t>
      </w:r>
      <w:r>
        <w:t xml:space="preserve"> Introduce ephedrine and briefly review Boltzmann averaging at the conceptual level. Students should verify that CREST is installed, since Session 2 is the first time it is used.</w:t>
      </w:r>
    </w:p>
    <w:p>
      <w:pPr>
        <w:pStyle w:val="BodyText"/>
      </w:pPr>
      <w:r>
        <w:rPr>
          <w:b/>
          <w:bCs/>
        </w:rPr>
        <w:t xml:space="preserve">0:15-0:50: Stages 1-2: optimization and Confab conformer search.</w:t>
      </w:r>
      <w:r>
        <w:t xml:space="preserve"> Students run the initial geometry optimization and Confab conformer search. If CREST will be run in parallel (recommended), launch both searches at this point.</w:t>
      </w:r>
    </w:p>
    <w:p>
      <w:pPr>
        <w:pStyle w:val="BodyText"/>
      </w:pPr>
      <w:r>
        <w:rPr>
          <w:b/>
          <w:bCs/>
        </w:rPr>
        <w:t xml:space="preserve">0:50-1:20: Stage 2b: CREST conformer search.</w:t>
      </w:r>
      <w:r>
        <w:t xml:space="preserve"> Review the CREST output with students while the run is in progress or after completion. Have students compare conformer counts and energy distributions between the Confab and CREST results.</w:t>
      </w:r>
    </w:p>
    <w:p>
      <w:pPr>
        <w:pStyle w:val="BodyText"/>
      </w:pPr>
      <w:r>
        <w:rPr>
          <w:b/>
          <w:bCs/>
        </w:rPr>
        <w:t xml:space="preserve">1:20-1:50: Stages 3-5: splitting, solvent re-optimization, and Boltzmann filtering.</w:t>
      </w:r>
      <w:r>
        <w:t xml:space="preserve"> Walk students through the Boltzmann filtering output. Have them calculate populations manually for two or three conformers using the reported energies to reinforce the concept before moving to the scripted output. Students populate the conformer data table in the handout.</w:t>
      </w:r>
    </w:p>
    <w:p>
      <w:pPr>
        <w:pStyle w:val="BodyText"/>
      </w:pPr>
      <w:r>
        <w:rPr>
          <w:b/>
          <w:bCs/>
        </w:rPr>
        <w:t>1:50-2:30: Stage 6 (TDDFT): ECD calculations.</w:t>
      </w:r>
      <w:r>
        <w:t xml:space="preserve"> Students run ECD calculations on the Boltzmann-filtered conformer set. Discuss the choice of </w:t>
      </w:r>
      <w:r>
        <w:rPr>
          <w:rStyle w:val="VerbatimChar"/>
        </w:rPr>
        <w:t xml:space="preserve">nroots</w:t>
      </w:r>
      <w:r>
        <w:t xml:space="preserve"> and why the functional matters for ECD sign patterns in particular.</w:t>
      </w:r>
    </w:p>
    <w:p>
      <w:pPr>
        <w:pStyle w:val="BodyText"/>
      </w:pPr>
      <w:r>
        <w:rPr>
          <w:b/>
          <w:bCs/>
        </w:rPr>
        <w:t xml:space="preserve">2:30-2:50: Analysis and plotting.</w:t>
      </w:r>
      <w:r>
        <w:t xml:space="preserve"> Students generate Boltzmann-weighted ECD spectra with </w:t>
      </w:r>
      <w:r>
        <w:rPr>
          <w:rStyle w:val="VerbatimChar"/>
        </w:rPr>
        <w:t>qc_ecd_uvvis_tools.py</w:t>
      </w:r>
      <w:r>
        <w:t xml:space="preserve"> and compare to the experimental spectrum. The key question is whether the sign pattern matches; if not, discuss what that means for absolute configuration assignment.</w:t>
      </w:r>
    </w:p>
    <w:p>
      <w:pPr>
        <w:pStyle w:val="BodyText"/>
      </w:pPr>
      <w:r>
        <w:rPr>
          <w:b/>
          <w:bCs/>
        </w:rPr>
        <w:t xml:space="preserve">2:50-3:00: Discussion questions and wrap-up.</w:t>
      </w:r>
    </w:p>
    <w:bookmarkEnd w:id="23"/>
    <w:bookmarkStart w:id="24" w:name="common-student-difficulties-1"/>
    <w:p>
      <w:pPr>
        <w:pStyle w:val="Heading2"/>
      </w:pPr>
      <w:r>
        <w:t xml:space="preserve">Common Student Difficulties</w:t>
      </w:r>
    </w:p>
    <w:p>
      <w:pPr>
        <w:pStyle w:val="Compact"/>
        <w:numPr>
          <w:ilvl w:val="0"/>
          <w:numId w:val="1007"/>
        </w:numPr>
      </w:pPr>
      <w:r>
        <w:rPr>
          <w:b/>
          <w:bCs/>
        </w:rPr>
        <w:t xml:space="preserve">CREST run time:</w:t>
      </w:r>
      <w:r>
        <w:t xml:space="preserve"> on slower machines the metadynamics run can take longer than expected. Consider providing pre-computed CREST output for students to analyze if time is a concern, or use tighter convergence thresholds via the energy cutoff flags.</w:t>
      </w:r>
    </w:p>
    <w:p>
      <w:pPr>
        <w:pStyle w:val="Compact"/>
        <w:numPr>
          <w:ilvl w:val="0"/>
          <w:numId w:val="1007"/>
        </w:numPr>
      </w:pPr>
      <w:r>
        <w:rPr>
          <w:b/>
          <w:bCs/>
        </w:rPr>
        <w:t xml:space="preserve">Overinterpreting small Boltzmann populations:</w:t>
      </w:r>
      <w:r>
        <w:t xml:space="preserve"> students sometimes dismiss a 5% conformer as negligible even when it carries a sign-inverting band. The discussion questions address this directly.</w:t>
      </w:r>
    </w:p>
    <w:p>
      <w:pPr>
        <w:pStyle w:val="Compact"/>
        <w:numPr>
          <w:ilvl w:val="0"/>
          <w:numId w:val="1007"/>
        </w:numPr>
      </w:pPr>
      <w:r>
        <w:rPr>
          <w:b/>
          <w:bCs/>
        </w:rPr>
        <w:t xml:space="preserve">Absolute configuration reasoning:</w:t>
      </w:r>
      <w:r>
        <w:t xml:space="preserve"> connecting the ECD sign pattern to a specific stereochemical assignment requires careful reasoning. Budget time for it in the discussion; the handout walks through the logic but students often benefit from a verbal walkthrough.</w:t>
      </w:r>
    </w:p>
    <w:p>
      <w:r>
        <w:pict>
          <v:rect style="width:0;height:1.5pt" o:hralign="center" o:hrstd="t" o:hr="t"/>
        </w:pict>
      </w:r>
    </w:p>
    <w:bookmarkEnd w:id="24"/>
    <w:bookmarkEnd w:id="25"/>
    <w:bookmarkStart w:id="30" w:name="session-3-vcd-and-ir-spectroscopy"/>
    <w:p>
      <w:pPr>
        <w:pStyle w:val="Heading1"/>
      </w:pPr>
      <w:r>
        <w:t xml:space="preserve">Session 3: VCD and IR Spectroscopy</w:t>
      </w:r>
    </w:p>
    <w:p>
      <w:pPr>
        <w:pStyle w:val="FirstParagraph"/>
      </w:pPr>
      <w:r>
        <w:rPr>
          <w:b/>
          <w:bCs/>
        </w:rPr>
        <w:t xml:space="preserve">Molecule:</w:t>
      </w:r>
      <w:r>
        <w:t xml:space="preserve"> (R)-methyloxirane (propylene oxide)      </w:t>
      </w:r>
      <w:r>
        <w:rPr>
          <w:b/>
          <w:bCs/>
        </w:rPr>
        <w:t xml:space="preserve">Duration:</w:t>
      </w:r>
      <w:r>
        <w:t xml:space="preserve"> ~3 hours</w:t>
      </w:r>
    </w:p>
    <w:p>
      <w:pPr>
        <w:pStyle w:val="BodyText"/>
      </w:pPr>
      <w:r>
        <w:rPr>
          <w:b/>
          <w:bCs/>
        </w:rPr>
        <w:t xml:space="preserve">Optional extension:</w:t>
      </w:r>
      <w:r>
        <w:t xml:space="preserve"> (S)-1-phenylethan-1-ol</w:t>
      </w:r>
    </w:p>
    <w:bookmarkStart w:id="26" w:name="why-methyloxirane"/>
    <w:p>
      <w:pPr>
        <w:pStyle w:val="Heading2"/>
      </w:pPr>
      <w:r>
        <w:t xml:space="preserve">Why Methyloxirane?</w:t>
      </w:r>
    </w:p>
    <w:p>
      <w:pPr>
        <w:pStyle w:val="FirstParagraph"/>
      </w:pPr>
      <w:r>
        <w:t>Methyloxirane is the standard benchmark for computational VCD. With only ten atoms, calculations at triple-zeta basis set levels complete quickly. High-quality experimental VCD spectra for both enantiomers are available in the published literature (Freedman et al., 2003; Stephens et al., 2008), and the rigid structure lets students focus on functional and basis set effects without conformational averaging as a confounding variable. The optional extension to (S)-1-phenylethan-1-ol adds modest conformational flexibility and ties back to the Boltzmann averaging themes from Session 2.</w:t>
      </w:r>
    </w:p>
    <w:bookmarkEnd w:id="26"/>
    <w:bookmarkStart w:id="27" w:name="learning-objectives-2"/>
    <w:p>
      <w:pPr>
        <w:pStyle w:val="Heading2"/>
      </w:pPr>
      <w:r>
        <w:t xml:space="preserve">Learning Objectives</w:t>
      </w:r>
    </w:p>
    <w:p>
      <w:pPr>
        <w:pStyle w:val="FirstParagraph"/>
      </w:pPr>
      <w:r>
        <w:t xml:space="preserve">By the end of this session, students will be able to:</w:t>
      </w:r>
    </w:p>
    <w:p>
      <w:pPr>
        <w:pStyle w:val="Compact"/>
        <w:numPr>
          <w:ilvl w:val="0"/>
          <w:numId w:val="1008"/>
        </w:numPr>
      </w:pPr>
      <w:r>
        <w:t>Run an analytic Hessian calculation in Q-Chem with VCD enabled (VCD TRUE in the $rem block)</w:t>
      </w:r>
      <w:r>
        <w:rPr>
          <w:rStyle w:val="VerbatimChar"/>
        </w:rPr>
      </w:r>
      <w:r/>
    </w:p>
    <w:p>
      <w:pPr>
        <w:pStyle w:val="Compact"/>
        <w:numPr>
          <w:ilvl w:val="0"/>
          <w:numId w:val="1008"/>
        </w:numPr>
      </w:pPr>
      <w:r>
        <w:t>Derive an empirical frequency scaling factor by comparing computed harmonic frequencies to experimental fundamentals</w:t>
      </w:r>
    </w:p>
    <w:p>
      <w:pPr>
        <w:pStyle w:val="Compact"/>
        <w:numPr>
          <w:ilvl w:val="0"/>
          <w:numId w:val="1008"/>
        </w:numPr>
      </w:pPr>
      <w:r>
        <w:t xml:space="preserve">Assess basis set convergence of VCD band positions and signs</w:t>
      </w:r>
    </w:p>
    <w:p>
      <w:pPr>
        <w:pStyle w:val="Compact"/>
        <w:numPr>
          <w:ilvl w:val="0"/>
          <w:numId w:val="1008"/>
        </w:numPr>
      </w:pPr>
      <w:r>
        <w:t xml:space="preserve">Produce IR and VCD spectra and compare them to published experimental data</w:t>
      </w:r>
    </w:p>
    <w:p>
      <w:pPr>
        <w:pStyle w:val="Compact"/>
        <w:numPr>
          <w:ilvl w:val="0"/>
          <w:numId w:val="1008"/>
        </w:numPr>
      </w:pPr>
      <w:r>
        <w:t xml:space="preserve">Use VCD sign patterns to assign absolute configuration</w:t>
      </w:r>
    </w:p>
    <w:p>
      <w:pPr>
        <w:pStyle w:val="Compact"/>
        <w:numPr>
          <w:ilvl w:val="0"/>
          <w:numId w:val="1008"/>
        </w:numPr>
      </w:pPr>
      <w:r>
        <w:t>Describe the complementary strengths of VCD and ECD for structural and configurational assignment</w:t>
      </w:r>
    </w:p>
    <w:bookmarkEnd w:id="27"/>
    <w:bookmarkStart w:id="28" w:name="suggested-timing-2"/>
    <w:p>
      <w:pPr>
        <w:pStyle w:val="Heading2"/>
      </w:pPr>
      <w:r>
        <w:t xml:space="preserve">Suggested Timing</w:t>
      </w:r>
    </w:p>
    <w:p>
      <w:pPr>
        <w:pStyle w:val="FirstParagraph"/>
      </w:pPr>
      <w:r>
        <w:rPr>
          <w:b/>
          <w:bCs/>
        </w:rPr>
        <w:t xml:space="preserve">0:00-0:15: Introduction and setup.</w:t>
      </w:r>
      <w:r>
        <w:t xml:space="preserve"> Introduce methyloxirane, the harmonic approximation, and the concept of frequency scaling. Compare the analytic Hessian approach to the TDDFT approach from Sessions 1 and 2.</w:t>
      </w:r>
    </w:p>
    <w:p>
      <w:pPr>
        <w:pStyle w:val="BodyText"/>
      </w:pPr>
      <w:r>
        <w:rPr>
          <w:b/>
          <w:bCs/>
        </w:rPr>
        <w:t>0:15-1:00: Stages 1 and 6 (VCD): geometry optimization and frequency calculation (def2-SVP). Students run the optimization and analytic frequency calculation with VCD enabled (VCD TRUE in the $rem block). While the calculation runs, students read the handout background.</w:t>
      </w:r>
      <w:r/>
      <w:r>
        <w:rPr>
          <w:rStyle w:val="VerbatimChar"/>
        </w:rPr>
      </w:r>
      <w:r/>
    </w:p>
    <w:p>
      <w:pPr>
        <w:pStyle w:val="BodyText"/>
      </w:pPr>
      <w:r>
        <w:rPr>
          <w:b/>
          <w:bCs/>
        </w:rPr>
        <w:t xml:space="preserve">1:00-1:30: Frequency scaling exercise.</w:t>
      </w:r>
      <w:r>
        <w:t xml:space="preserve"> Students extract harmonic frequencies from the Q-Chem output and compare them to experimental fundamentals for selected bands. They derive an empirical scaling factor and evaluate whether a single uniform factor is appropriate across all regions of the spectrum. Students fill in the frequency scaling table in the handout.</w:t>
      </w:r>
    </w:p>
    <w:p>
      <w:pPr>
        <w:pStyle w:val="BodyText"/>
      </w:pPr>
      <w:r>
        <w:rPr>
          <w:b/>
          <w:bCs/>
        </w:rPr>
        <w:t xml:space="preserve">1:30-2:00: Analysis, plotting, and absolute configuration assignment.</w:t>
      </w:r>
      <w:r>
        <w:t xml:space="preserve"> Students generate IR and VCD spectra with </w:t>
      </w:r>
      <w:r>
        <w:rPr>
          <w:rStyle w:val="VerbatimChar"/>
        </w:rPr>
        <w:t>qc_vcd_ir_tools.py</w:t>
      </w:r>
      <w:r>
        <w:t xml:space="preserve"> and compare to the experimental spectra of both enantiomers. Students make and justify an absolute configuration assignment based on the sign pattern.</w:t>
      </w:r>
    </w:p>
    <w:p>
      <w:pPr>
        <w:pStyle w:val="BodyText"/>
      </w:pPr>
      <w:r>
        <w:rPr>
          <w:b/>
          <w:bCs/>
        </w:rPr>
        <w:t xml:space="preserve">2:00-2:30: Basis set convergence exercise (def2-TZVP).</w:t>
      </w:r>
      <w:r>
        <w:t xml:space="preserve"> Students run or examine results from a triple-zeta calculation and compare band positions and VCD signs to the def2-SVP results. This reinforces the basis set convergence themes from Session 1 in a vibrational context.</w:t>
      </w:r>
    </w:p>
    <w:p>
      <w:pPr>
        <w:pStyle w:val="BodyText"/>
      </w:pPr>
      <w:r>
        <w:rPr>
          <w:b/>
          <w:bCs/>
        </w:rPr>
        <w:t xml:space="preserve">2:30-2:50: Discussion questions.</w:t>
      </w:r>
      <w:r>
        <w:t xml:space="preserve"> Budget time for the question on whether a single scaling factor is adequate across the full mid-IR range; this question tends to generate good discussion about the physical limits of the harmonic approximation.</w:t>
      </w:r>
    </w:p>
    <w:p>
      <w:pPr>
        <w:pStyle w:val="BodyText"/>
      </w:pPr>
      <w:r>
        <w:rPr>
          <w:b/>
          <w:bCs/>
        </w:rPr>
        <w:t xml:space="preserve">2:50-3:00: Optional extension introduction or wrap-up.</w:t>
      </w:r>
      <w:r>
        <w:t xml:space="preserve"> If time allows, introduce the (S)-1-phenylethan-1-ol extension. Students who finish early can start this as an independent exercise.</w:t>
      </w:r>
    </w:p>
    <w:bookmarkEnd w:id="28"/>
    <w:bookmarkStart w:id="29" w:name="common-student-difficulties-2"/>
    <w:p>
      <w:pPr>
        <w:pStyle w:val="Heading2"/>
      </w:pPr>
      <w:r>
        <w:t xml:space="preserve">Common Student Difficulties</w:t>
      </w:r>
    </w:p>
    <w:p>
      <w:pPr>
        <w:pStyle w:val="Compact"/>
        <w:numPr>
          <w:ilvl w:val="0"/>
          <w:numId w:val="1009"/>
        </w:numPr>
      </w:pPr>
      <w:r>
        <w:rPr>
          <w:b/>
          <w:bCs/>
        </w:rPr>
        <w:t xml:space="preserve">Confusing IR dipole strength with VCD rotatory strength:</w:t>
      </w:r>
      <w:r>
        <w:t xml:space="preserve"> a brief verbal clarification before students start examining output files is more effective than correcting it afterward.</w:t>
      </w:r>
    </w:p>
    <w:p>
      <w:pPr>
        <w:pStyle w:val="Compact"/>
        <w:numPr>
          <w:ilvl w:val="0"/>
          <w:numId w:val="1009"/>
        </w:numPr>
      </w:pPr>
      <w:r>
        <w:rPr>
          <w:b/>
          <w:bCs/>
        </w:rPr>
        <w:t xml:space="preserve">Frequency scaling direction:</w:t>
      </w:r>
      <w:r>
        <w:t xml:space="preserve"> students sometimes apply the scaling factor incorrectly. Emphasize that computed harmonic frequencies are too high, so the scaling factor is less than 1 and multiplies the computed frequency to give the corrected value.</w:t>
      </w:r>
    </w:p>
    <w:p>
      <w:pPr>
        <w:pStyle w:val="Compact"/>
        <w:numPr>
          <w:ilvl w:val="0"/>
          <w:numId w:val="1009"/>
        </w:numPr>
      </w:pPr>
      <w:r>
        <w:rPr>
          <w:b/>
          <w:bCs/>
        </w:rPr>
        <w:t xml:space="preserve">Imaginary frequencies:</w:t>
      </w:r>
      <w:r>
        <w:t xml:space="preserve"> if the geometry optimization did not converge to a true minimum, students will see imaginary (negative) frequencies in the output. This is a useful teaching moment about saddle points, but warn students in advance so they recognize the situation rather than treating it as a script failure.</w:t>
      </w:r>
    </w:p>
    <w:p>
      <w:r>
        <w:pict>
          <v:rect style="width:0;height:1.5pt" o:hralign="center" o:hrstd="t" o:hr="t"/>
        </w:pict>
      </w:r>
    </w:p>
    <w:bookmarkEnd w:id="29"/>
    <w:bookmarkEnd w:id="30"/>
    <w:bookmarkStart w:id="34" w:name="assessment"/>
    <w:p>
      <w:pPr>
        <w:pStyle w:val="Heading1"/>
      </w:pPr>
      <w:r>
        <w:t xml:space="preserve">Assessment</w:t>
      </w:r>
    </w:p>
    <w:bookmarkStart w:id="31" w:name="pre--and-post-session-surveys"/>
    <w:p>
      <w:pPr>
        <w:pStyle w:val="Heading2"/>
      </w:pPr>
      <w:r>
        <w:t xml:space="preserve">Pre- and Post-Session Surveys</w:t>
      </w:r>
    </w:p>
    <w:p>
      <w:pPr>
        <w:pStyle w:val="FirstParagraph"/>
      </w:pPr>
      <w:r>
        <w:t>Distribute the pre-session survey before students open the handout. The post-session survey should be completed after students have submitted their session report. Both surveys assess self-reported confidence on 10 competency areas using a 5-point Likert scale and include open-ended questions on handout clarity, script usability, and session pacing.</w:t>
      </w:r>
    </w:p>
    <w:bookmarkEnd w:id="31"/>
    <w:bookmarkStart w:id="32" w:name="session-reports"/>
    <w:p>
      <w:pPr>
        <w:pStyle w:val="Heading2"/>
      </w:pPr>
      <w:r>
        <w:t xml:space="preserve">Session Reports</w:t>
      </w:r>
    </w:p>
    <w:p>
      <w:pPr>
        <w:pStyle w:val="FirstParagraph"/>
      </w:pPr>
      <w:r>
        <w:t>Each session uses a report template (one template covers Sessions 1 and 2; a separate template covers Session 3). Reports are 2-3 pages and require students to document their methods, present results with figures, and justify methodological choices by citing benchmarking literature. The template explicitly prompts for justification: students must explain why they selected a given functional and basis set, not merely report what they used.</w:t>
      </w:r>
    </w:p>
    <w:bookmarkEnd w:id="32"/>
    <w:bookmarkStart w:id="33" w:name="suggested-grading-criteria"/>
    <w:p>
      <w:pPr>
        <w:pStyle w:val="Heading2"/>
      </w:pPr>
      <w:r>
        <w:t xml:space="preserve">Suggested Grading Criteria</w:t>
      </w:r>
    </w:p>
    <w:p>
      <w:pPr>
        <w:pStyle w:val="Compact"/>
        <w:numPr>
          <w:ilvl w:val="0"/>
          <w:numId w:val="1010"/>
        </w:numPr>
      </w:pPr>
      <w:r>
        <w:rPr>
          <w:b/>
          <w:bCs/>
        </w:rPr>
        <w:t xml:space="preserve">Methods section (25%):</w:t>
      </w:r>
      <w:r>
        <w:t xml:space="preserve"> Does the student correctly describe what was computed and why? Are the relevant software, keywords, and script flags described accurately?</w:t>
      </w:r>
    </w:p>
    <w:p>
      <w:pPr>
        <w:pStyle w:val="Compact"/>
        <w:numPr>
          <w:ilvl w:val="0"/>
          <w:numId w:val="1010"/>
        </w:numPr>
      </w:pPr>
      <w:r>
        <w:rPr>
          <w:b/>
          <w:bCs/>
        </w:rPr>
        <w:t xml:space="preserve">Results (25%):</w:t>
      </w:r>
      <w:r>
        <w:t xml:space="preserve"> Are the spectra plotted correctly? Are the data tables complete?</w:t>
      </w:r>
    </w:p>
    <w:p>
      <w:pPr>
        <w:pStyle w:val="Compact"/>
        <w:numPr>
          <w:ilvl w:val="0"/>
          <w:numId w:val="1010"/>
        </w:numPr>
      </w:pPr>
      <w:r>
        <w:rPr>
          <w:b/>
          <w:bCs/>
        </w:rPr>
        <w:t xml:space="preserve">Justification (35%):</w:t>
      </w:r>
      <w:r>
        <w:t xml:space="preserve"> Does the student cite appropriate benchmarking literature for their methodological choices? This is the primary learning objective and should carry the most weight in grading.</w:t>
      </w:r>
    </w:p>
    <w:p>
      <w:pPr>
        <w:pStyle w:val="Compact"/>
        <w:numPr>
          <w:ilvl w:val="0"/>
          <w:numId w:val="1010"/>
        </w:numPr>
      </w:pPr>
      <w:r>
        <w:rPr>
          <w:b/>
          <w:bCs/>
        </w:rPr>
        <w:t xml:space="preserve">Critical analysis (15%):</w:t>
      </w:r>
      <w:r>
        <w:t xml:space="preserve"> For Sessions 2 and 3, does the student engage meaningfully with the absolute configuration assignment? Does the student address what discrepancies between computed and experimental spectra indicate?</w:t>
      </w:r>
    </w:p>
    <w:p>
      <w:pPr>
        <w:pStyle w:val="FirstParagraph"/>
      </w:pPr>
      <w:r>
        <w:t>Grade discussion question responses on the quality of reasoning rather than on arriving at a specific correct answer, since most questions ask for justification or evaluation rather than a numerical result.</w:t>
      </w:r>
    </w:p>
    <w:p>
      <w:r>
        <w:pict>
          <v:rect style="width:0;height:1.5pt" o:hralign="center" o:hrstd="t" o:hr="t"/>
        </w:pict>
      </w:r>
    </w:p>
    <w:bookmarkEnd w:id="33"/>
    <w:bookmarkEnd w:id="34"/>
    <w:bookmarkStart w:id="35" w:name="adapting-the-module"/>
    <w:p>
      <w:pPr>
        <w:pStyle w:val="Heading1"/>
      </w:pPr>
      <w:r>
        <w:t xml:space="preserve">Adapting the Module</w:t>
      </w:r>
    </w:p>
    <w:p>
      <w:pPr>
        <w:pStyle w:val="FirstParagraph"/>
      </w:pPr>
      <w:r>
        <w:rPr>
          <w:b/>
          <w:bCs/>
        </w:rPr>
        <w:t xml:space="preserve">Single-session use.</w:t>
      </w:r>
      <w:r>
        <w:t xml:space="preserve"> Any session can be offered independently. The software installation and terminal orientation are the same for all three sessions, so there is no additional setup cost for mixing and matching. If only one session is offered, Session 1 is the most accessible starting point for students who are new to Q-Chem.</w:t>
      </w:r>
    </w:p>
    <w:p>
      <w:pPr>
        <w:pStyle w:val="BodyText"/>
      </w:pPr>
      <w:r>
        <w:rPr>
          <w:b/>
          <w:bCs/>
        </w:rPr>
        <w:t xml:space="preserve">Multi-week extension.</w:t>
      </w:r>
      <w:r>
        <w:t xml:space="preserve"> Any session can be extended into a multi-week project by having students apply the workflow to a molecule of their choosing, run additional functional or basis set comparisons, or prepare a more detailed benchmarking report. The built-in SLURM support scales readily to larger systems on institutional clusters.</w:t>
      </w:r>
    </w:p>
    <w:p>
      <w:pPr>
        <w:pStyle w:val="BodyText"/>
      </w:pPr>
      <w:r>
        <w:rPr>
          <w:b/>
          <w:bCs/>
        </w:rPr>
        <w:t xml:space="preserve">Undergraduate adaptation.</w:t>
      </w:r>
      <w:r>
        <w:t xml:space="preserve"> Sessions 1 and 3 work well for advanced undergraduates in a physical chemistry laboratory who have covered DFT in lecture. Session 2 requires more background in conformational analysis and chiroptical spectroscopy and is better suited to a graduate audience or a specialized elective covering stereochemistry and spectroscopy.</w:t>
      </w:r>
    </w:p>
    <w:p>
      <w:pPr>
        <w:pStyle w:val="BodyText"/>
      </w:pPr>
      <w:r>
        <w:rPr>
          <w:b/>
          <w:bCs/>
        </w:rPr>
        <w:t xml:space="preserve">HPC use.</w:t>
      </w:r>
      <w:r>
        <w:t xml:space="preserve"> For courses where students work on a shared institutional cluster, omit the </w:t>
      </w:r>
      <w:r>
        <w:rPr>
          <w:rStyle w:val="VerbatimChar"/>
        </w:rPr>
        <w:t xml:space="preserve">--local</w:t>
      </w:r>
      <w:r>
        <w:t xml:space="preserve"> flag to default to SLURM submission. Check that the SLURM header parameters in the scripts (partition, time limit, and cores per job) match your cluster configuration before the session. The </w:t>
      </w:r>
      <w:r>
        <w:rPr>
          <w:rStyle w:val="VerbatimChar"/>
        </w:rPr>
        <w:t xml:space="preserve">--dry-run</w:t>
      </w:r>
      <w:r>
        <w:t xml:space="preserve"> flag is especially useful in HPC contexts because students can inspect the generated job scripts before anything is submitted to the queue.</w:t>
      </w:r>
    </w:p>
    <w:bookmarkEnd w:id="35"/>
    <w:sectPr>
      <w:headerReference w:type="default" r:id="rId9"/>
      <w:footerReference w:type="default" r:id="rId10"/>
      <w:pgSz w:h="15840" w:orient="portrait" w:w="12240"/>
      <w:pgMar w:bottom="1080" w:footer="708" w:gutter="0" w:header="708" w:left="1440" w:right="1440" w:top="108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decimal"/>
      <w:lvlText w:val="%1."/>
      <w:lvlJc w:val="left"/>
      <w:pPr>
        <w:ind w:hanging="360" w:left="720"/>
      </w:pPr>
    </w:lvl>
  </w:abstractNum>
  <w:abstractNum w15:restartNumberingAfterBreak="0" w:abstractNumId="3">
    <w:multiLevelType w:val="hybridMultilevel"/>
    <w:lvl w15:tentative="1" w:ilvl="0">
      <w:start w:val="1"/>
      <w:numFmt w:val="lowerLetter"/>
      <w:lvlText w:val="%1)"/>
      <w:lvlJc w:val="left"/>
      <w:pPr>
        <w:ind w:hanging="360" w:left="1080"/>
      </w:pPr>
    </w:lvl>
  </w:abstractNum>
  <w:abstractNum w15:restartNumberingAfterBreak="0" w:abstractNumId="4">
    <w:multiLevelType w:val="hybridMultilevel"/>
    <w:lvl w15:tentative="1" w:ilvl="0">
      <w:start w:val="1"/>
      <w:numFmt w:val="bullet"/>
      <w:lvlText w:val="•"/>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160" w:before="360"/>
      <w:outlineLvl w:val="0"/>
    </w:pPr>
    <w:rPr>
      <w:rFonts w:ascii="Arial" w:cs="Arial" w:eastAsia="Arial" w:hAnsi="Arial"/>
      <w:b/>
      <w:bCs/>
      <w:color w:val="1F3864"/>
      <w:sz w:val="28"/>
      <w:szCs w:val="28"/>
    </w:rPr>
  </w:style>
  <w:style w:styleId="Heading2" w:type="paragraph">
    <w:name w:val="Heading 2"/>
    <w:basedOn w:val="Normal"/>
    <w:next w:val="Normal"/>
    <w:qFormat/>
    <w:pPr>
      <w:spacing w:after="120" w:before="280"/>
      <w:outlineLvl w:val="1"/>
    </w:pPr>
    <w:rPr>
      <w:rFonts w:ascii="Arial" w:cs="Arial" w:eastAsia="Arial" w:hAnsi="Arial"/>
      <w:b/>
      <w:bCs/>
      <w:color w:val="2E75B6"/>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Instructor Lesson Plan</dc:title>
  <dc:creator/>
  <cp:keywords/>
  <dcterms:created xsi:type="dcterms:W3CDTF">2026-03-17T23:13:06Z</dcterms:created>
  <dcterms:modified xsi:type="dcterms:W3CDTF">2026-03-17T23:13:06Z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Computational Electronic and Vibrational Spectroscopy Module</vt:lpwstr>
  </property>
</Properties>
</file>