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0"/>
          <w:szCs w:val="30"/>
        </w:rPr>
        <w:t xml:space="preserve">Computational Electronic Spectroscopy Module</w:t>
      </w:r>
    </w:p>
    <w:p>
      <w:pPr>
        <w:spacing w:after="80"/>
        <w:jc w:val="center"/>
      </w:pPr>
      <w:r>
        <w:rPr>
          <w:rFonts w:ascii="Arial" w:cs="Arial" w:eastAsia="Arial" w:hAnsi="Arial"/>
          <w:b/>
          <w:bCs/>
          <w:sz w:val="26"/>
          <w:szCs w:val="26"/>
        </w:rPr>
        <w:t xml:space="preserve">Student Report</w:t>
      </w:r>
    </w:p>
    <w:p>
      <w:pPr>
        <w:tabs>
          <w:tab w:val="right" w:pos="9360"/>
        </w:tabs>
        <w:spacing w:after="120"/>
      </w:pPr>
      <w:r>
        <w:rPr>
          <w:rFonts w:ascii="Arial" w:cs="Arial" w:eastAsia="Arial" w:hAnsi="Arial"/>
          <w:b/>
          <w:bCs/>
          <w:sz w:val="22"/>
          <w:szCs w:val="22"/>
        </w:rPr>
        <w:t xml:space="preserve">Name(s): </w:t>
      </w:r>
      <w:r>
        <w:rPr>
          <w:rFonts w:ascii="Arial" w:cs="Arial" w:eastAsia="Arial" w:hAnsi="Arial"/>
          <w:color w:val="BBBBBB"/>
          <w:sz w:val="22"/>
          <w:szCs w:val="22"/>
        </w:rPr>
        <w:t xml:space="preserve">________________________________________</w:t>
      </w:r>
    </w:p>
    <w:p>
      <w:pPr>
        <w:tabs>
          <w:tab w:val="right" w:pos="9360"/>
        </w:tabs>
        <w:spacing w:after="120"/>
      </w:pPr>
      <w:r>
        <w:rPr>
          <w:rFonts w:ascii="Arial" w:cs="Arial" w:eastAsia="Arial" w:hAnsi="Arial"/>
          <w:b/>
          <w:bCs/>
          <w:sz w:val="22"/>
          <w:szCs w:val="22"/>
        </w:rPr>
        <w:t xml:space="preserve">Date: </w:t>
      </w:r>
      <w:r>
        <w:rPr>
          <w:rFonts w:ascii="Arial" w:cs="Arial" w:eastAsia="Arial" w:hAnsi="Arial"/>
          <w:color w:val="BBBBBB"/>
          <w:sz w:val="22"/>
          <w:szCs w:val="22"/>
        </w:rPr>
        <w:t xml:space="preserve">________________________________________</w:t>
      </w:r>
    </w:p>
    <w:p>
      <w:pPr>
        <w:tabs>
          <w:tab w:val="right" w:pos="9360"/>
        </w:tabs>
        <w:spacing w:after="120"/>
      </w:pPr>
      <w:r>
        <w:rPr>
          <w:rFonts w:ascii="Arial" w:cs="Arial" w:eastAsia="Arial" w:hAnsi="Arial"/>
          <w:b/>
          <w:bCs/>
          <w:sz w:val="22"/>
          <w:szCs w:val="22"/>
        </w:rPr>
        <w:t xml:space="preserve">Session completed: </w:t>
      </w:r>
      <w:r>
        <w:rPr>
          <w:rFonts w:ascii="Arial" w:cs="Arial" w:eastAsia="Arial" w:hAnsi="Arial"/>
          <w:color w:val="BBBBBB"/>
          <w:sz w:val="22"/>
          <w:szCs w:val="22"/>
        </w:rPr>
        <w:t xml:space="preserve">________________________________________</w:t>
      </w:r>
    </w:p>
    <w:p>
      <w:pPr>
        <w:spacing w:after="80"/>
      </w:pPr>
    </w:p>
    <w:p>
      <w:pPr>
        <w:spacing w:after="80"/>
      </w:pPr>
      <w:r>
        <w:rPr>
          <w:rFonts w:ascii="Arial" w:cs="Arial" w:eastAsia="Arial" w:hAnsi="Arial"/>
          <w:sz w:val="22"/>
          <w:szCs w:val="22"/>
        </w:rPr>
        <w:t xml:space="preserve">Circle one:     Session 1 (UV-Vis / PNA)     |     Session 2 (ECD / Ephedrine)     |     Both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Instructions</w:t>
            </w:r>
          </w:p>
          <w:p>
            <w:pPr>
              <w:spacing w:after="60"/>
            </w:pPr>
            <w:r>
              <w:rPr>
                <w:rFonts w:ascii="Arial" w:cs="Arial" w:eastAsia="Arial" w:hAnsi="Arial"/>
                <w:color w:val="444444"/>
                <w:sz w:val="20"/>
                <w:szCs w:val="20"/>
              </w:rPr>
              <w:t xml:space="preserve">This template guides you through a 2–3 page report on your computational spectroscopy results.</w:t>
            </w:r>
          </w:p>
          <w:p>
            <w:pPr>
              <w:spacing w:after="60"/>
            </w:pPr>
            <w:r>
              <w:rPr>
                <w:rFonts w:ascii="Arial" w:cs="Arial" w:eastAsia="Arial" w:hAnsi="Arial"/>
                <w:color w:val="444444"/>
                <w:sz w:val="20"/>
                <w:szCs w:val="20"/>
              </w:rPr>
              <w:t xml:space="preserve">Replace all grey italic text with your own writing. Delete guidance boxes before submitting.</w:t>
            </w:r>
          </w:p>
          <w:p>
            <w:pPr>
              <w:spacing w:after="60"/>
            </w:pPr>
            <w:r>
              <w:rPr>
                <w:rFonts w:ascii="Arial" w:cs="Arial" w:eastAsia="Arial" w:hAnsi="Arial"/>
                <w:color w:val="444444"/>
                <w:sz w:val="20"/>
                <w:szCs w:val="20"/>
              </w:rPr>
              <w:t xml:space="preserve">Include at least one figure and one data table. All figures need captions.</w:t>
            </w:r>
          </w:p>
          <w:p>
            <w:pPr>
              <w:spacing w:after="60"/>
            </w:pPr>
            <w:r>
              <w:rPr>
                <w:rFonts w:ascii="Arial" w:cs="Arial" w:eastAsia="Arial" w:hAnsi="Arial"/>
                <w:color w:val="444444"/>
                <w:sz w:val="20"/>
                <w:szCs w:val="20"/>
              </w:rPr>
              <w:t xml:space="preserve">Target length: 2–3 pages (excluding tables and figures).</w:t>
            </w:r>
          </w:p>
        </w:tc>
      </w:tr>
    </w:tbl>
    <w:p>
      <w:pPr>
        <w:spacing w:after="120"/>
      </w:pPr>
    </w:p>
    <w:p>
      <w:pPr>
        <w:pStyle w:val="Heading1"/>
        <w:spacing w:before="360" w:after="200"/>
      </w:pPr>
      <w:r>
        <w:rPr>
          <w:rFonts w:ascii="Arial" w:cs="Arial" w:eastAsia="Arial" w:hAnsi="Arial"/>
          <w:b/>
          <w:bCs/>
          <w:sz w:val="28"/>
          <w:szCs w:val="28"/>
        </w:rPr>
        <w:t xml:space="preserve">1. Introduction</w:t>
      </w:r>
    </w:p>
    <w:p>
      <w:pPr>
        <w:spacing w:after="120" w:line="360"/>
      </w:pPr>
      <w:r>
        <w:rPr>
          <w:rFonts w:ascii="Arial" w:cs="Arial" w:eastAsia="Arial" w:hAnsi="Arial"/>
          <w:i/>
          <w:iCs/>
          <w:color w:val="888888"/>
          <w:sz w:val="22"/>
          <w:szCs w:val="22"/>
        </w:rPr>
        <w:t xml:space="preserve">In 2–3 sentences, state the goal of the session you completed. What molecule did you study, what property did you compute (UV-Vis absorption, ECD, or both), and why is this computation scientifically useful?</w:t>
      </w:r>
    </w:p>
    <w:p>
      <w:pPr>
        <w:spacing w:after="120"/>
      </w:pPr>
    </w:p>
    <w:p>
      <w:pPr>
        <w:spacing w:after="120" w:line="360"/>
      </w:pPr>
      <w:r>
        <w:rPr>
          <w:rFonts w:ascii="Arial" w:cs="Arial" w:eastAsia="Arial" w:hAnsi="Arial"/>
          <w:i/>
          <w:iCs/>
          <w:color w:val="888888"/>
          <w:sz w:val="22"/>
          <w:szCs w:val="22"/>
        </w:rPr>
        <w:t xml:space="preserve">Briefly describe the key challenge your session addressed. For Session 1, this is the sensitivity of charge-transfer excitation energies to functional choice. For Session 2, this is the dependence of the ECD spectrum on conformational sampling and Boltzmann weighting.</w:t>
      </w:r>
    </w:p>
    <w:p>
      <w:pPr>
        <w:spacing w:after="300"/>
      </w:pPr>
    </w:p>
    <w:p>
      <w:pPr>
        <w:pStyle w:val="Heading1"/>
        <w:spacing w:before="360" w:after="200"/>
      </w:pPr>
      <w:r>
        <w:rPr>
          <w:rFonts w:ascii="Arial" w:cs="Arial" w:eastAsia="Arial" w:hAnsi="Arial"/>
          <w:b/>
          <w:bCs/>
          <w:sz w:val="28"/>
          <w:szCs w:val="28"/>
        </w:rPr>
        <w:t xml:space="preserve">2. Computational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What to include</w:t>
            </w:r>
          </w:p>
          <w:p>
            <w:pPr>
              <w:spacing w:after="60"/>
            </w:pPr>
            <w:r>
              <w:rPr>
                <w:rFonts w:ascii="Arial" w:cs="Arial" w:eastAsia="Arial" w:hAnsi="Arial"/>
                <w:color w:val="444444"/>
                <w:sz w:val="20"/>
                <w:szCs w:val="20"/>
              </w:rPr>
              <w:t xml:space="preserve">Describe your computational workflow in enough detail that another student could</w:t>
            </w:r>
          </w:p>
          <w:p>
            <w:pPr>
              <w:spacing w:after="60"/>
            </w:pPr>
            <w:r>
              <w:rPr>
                <w:rFonts w:ascii="Arial" w:cs="Arial" w:eastAsia="Arial" w:hAnsi="Arial"/>
                <w:color w:val="444444"/>
                <w:sz w:val="20"/>
                <w:szCs w:val="20"/>
              </w:rPr>
              <w:t>reproduce your calculations. Include: software (Q-Chem version), DFT functional(s),</w:t>
            </w:r>
          </w:p>
          <w:p>
            <w:pPr>
              <w:spacing w:after="60"/>
            </w:pPr>
            <w:r>
              <w:rPr>
                <w:rFonts w:ascii="Arial" w:cs="Arial" w:eastAsia="Arial" w:hAnsi="Arial"/>
                <w:color w:val="444444"/>
                <w:sz w:val="20"/>
                <w:szCs w:val="20"/>
              </w:rPr>
              <w:t xml:space="preserve">basis set(s), solvent model and solvent, number of excited states, conformer search</w:t>
            </w:r>
          </w:p>
          <w:p>
            <w:pPr>
              <w:spacing w:after="60"/>
            </w:pPr>
            <w:r>
              <w:rPr>
                <w:rFonts w:ascii="Arial" w:cs="Arial" w:eastAsia="Arial" w:hAnsi="Arial"/>
                <w:color w:val="444444"/>
                <w:sz w:val="20"/>
                <w:szCs w:val="20"/>
              </w:rPr>
              <w:t xml:space="preserve">method (if applicable), Boltzmann temperature and threshold, and broadening parameters.</w:t>
            </w:r>
          </w:p>
        </w:tc>
      </w:tr>
    </w:tbl>
    <w:p>
      <w:pPr>
        <w:pStyle w:val="Heading2"/>
        <w:spacing w:before="280" w:after="160"/>
      </w:pPr>
      <w:r>
        <w:rPr>
          <w:rFonts w:ascii="Arial" w:cs="Arial" w:eastAsia="Arial" w:hAnsi="Arial"/>
          <w:b/>
          <w:bCs/>
          <w:sz w:val="24"/>
          <w:szCs w:val="24"/>
        </w:rPr>
        <w:t xml:space="preserve">2.1 Geometry Optimization</w:t>
      </w:r>
    </w:p>
    <w:p>
      <w:pPr>
        <w:spacing w:after="120" w:line="360"/>
      </w:pPr>
      <w:r>
        <w:rPr>
          <w:rFonts w:ascii="Arial" w:cs="Arial" w:eastAsia="Arial" w:hAnsi="Arial"/>
          <w:i/>
          <w:iCs/>
          <w:color w:val="888888"/>
          <w:sz w:val="22"/>
          <w:szCs w:val="22"/>
        </w:rPr>
        <w:t xml:space="preserve">State the method, basis set, and dispersion correction used for geometry optimization (e.g., B3LYP-D3BJ/def2-SVP). Specify whether solvent was included at this stage and, if so, which solvent model.</w:t>
      </w:r>
    </w:p>
    <w:p>
      <w:pPr>
        <w:spacing w:after="200"/>
      </w:pPr>
    </w:p>
    <w:p>
      <w:pPr>
        <w:pStyle w:val="Heading2"/>
        <w:spacing w:before="280" w:after="160"/>
      </w:pPr>
      <w:r>
        <w:rPr>
          <w:rFonts w:ascii="Arial" w:cs="Arial" w:eastAsia="Arial" w:hAnsi="Arial"/>
          <w:b/>
          <w:bCs/>
          <w:sz w:val="24"/>
          <w:szCs w:val="24"/>
        </w:rPr>
        <w:t xml:space="preserve">2.2 Conformer Search and Boltzmann Weighting</w:t>
      </w:r>
    </w:p>
    <w:p>
      <w:pPr>
        <w:spacing w:after="120" w:line="360"/>
      </w:pPr>
      <w:r>
        <w:rPr>
          <w:rFonts w:ascii="Arial" w:cs="Arial" w:eastAsia="Arial" w:hAnsi="Arial"/>
          <w:i/>
          <w:iCs/>
          <w:color w:val="888888"/>
          <w:sz w:val="22"/>
          <w:szCs w:val="22"/>
        </w:rPr>
        <w:t xml:space="preserve">Session 1: Note that PNA is rigid and a single conformer was used (explain why). Session 2: Describe the conformer search method (Confab or CREST), energy cutoff, number of conformers generated, number that survived Boltzmann filtering, and the probability threshold used.</w:t>
      </w:r>
    </w:p>
    <w:p>
      <w:pPr>
        <w:spacing w:after="200"/>
      </w:pPr>
    </w:p>
    <w:p>
      <w:pPr>
        <w:pStyle w:val="Heading2"/>
        <w:spacing w:before="280" w:after="160"/>
      </w:pPr>
      <w:r>
        <w:rPr>
          <w:rFonts w:ascii="Arial" w:cs="Arial" w:eastAsia="Arial" w:hAnsi="Arial"/>
          <w:b/>
          <w:bCs/>
          <w:sz w:val="24"/>
          <w:szCs w:val="24"/>
        </w:rPr>
        <w:t xml:space="preserve">2.3 TDDFT Excited-State Calculations</w:t>
      </w:r>
    </w:p>
    <w:p>
      <w:pPr>
        <w:spacing w:after="120" w:line="360"/>
      </w:pPr>
      <w:r>
        <w:rPr>
          <w:rFonts w:ascii="Arial" w:cs="Arial" w:eastAsia="Arial" w:hAnsi="Arial"/>
          <w:i/>
          <w:iCs/>
          <w:color w:val="888888"/>
          <w:sz w:val="22"/>
          <w:szCs w:val="22"/>
        </w:rPr>
        <w:t xml:space="preserve">State the functional, basis set, solvent model, and number of roots used for the TDDFT calculations. If you used a different functional/basis than the geometry optimization step, explain why (multi-level strategy).</w:t>
      </w:r>
    </w:p>
    <w:p>
      <w:pPr>
        <w:spacing w:after="200"/>
      </w:pPr>
    </w:p>
    <w:p>
      <w:pPr>
        <w:pStyle w:val="Heading2"/>
        <w:spacing w:before="280" w:after="160"/>
      </w:pPr>
      <w:r>
        <w:rPr>
          <w:rFonts w:ascii="Arial" w:cs="Arial" w:eastAsia="Arial" w:hAnsi="Arial"/>
          <w:b/>
          <w:bCs/>
          <w:sz w:val="24"/>
          <w:szCs w:val="24"/>
        </w:rPr>
        <w:t xml:space="preserve">2.4 Spectral Broadening</w:t>
      </w:r>
    </w:p>
    <w:p>
      <w:pPr>
        <w:spacing w:after="120" w:line="360"/>
      </w:pPr>
      <w:r>
        <w:rPr>
          <w:rFonts w:ascii="Arial" w:cs="Arial" w:eastAsia="Arial" w:hAnsi="Arial"/>
          <w:i/>
          <w:iCs/>
          <w:color w:val="888888"/>
          <w:sz w:val="22"/>
          <w:szCs w:val="22"/>
        </w:rPr>
        <w:t xml:space="preserve">State the broadening function (Gaussian), the FWHM value used, and whether broadening was applied in energy space (eV) or wavelength space (nm). Note the plotting tool used.</w:t>
      </w:r>
    </w:p>
    <w:p>
      <w:pPr>
        <w:spacing w:after="300"/>
      </w:pPr>
    </w:p>
    <w:p>
      <w:pPr>
        <w:pStyle w:val="Heading1"/>
        <w:spacing w:before="360" w:after="200"/>
      </w:pPr>
      <w:r>
        <w:rPr>
          <w:rFonts w:ascii="Arial" w:cs="Arial" w:eastAsia="Arial" w:hAnsi="Arial"/>
          <w:b/>
          <w:bCs/>
          <w:sz w:val="28"/>
          <w:szCs w:val="28"/>
        </w:rPr>
        <w:t xml:space="preserve">3. Results</w:t>
      </w:r>
    </w:p>
    <w:p>
      <w:pPr>
        <w:pStyle w:val="Heading2"/>
        <w:spacing w:before="280" w:after="160"/>
      </w:pPr>
      <w:r>
        <w:rPr>
          <w:rFonts w:ascii="Arial" w:cs="Arial" w:eastAsia="Arial" w:hAnsi="Arial"/>
          <w:b/>
          <w:bCs/>
          <w:sz w:val="24"/>
          <w:szCs w:val="24"/>
        </w:rPr>
        <w:t xml:space="preserve">3.1 Functional Benchmarking (Session 1)</w:t>
      </w:r>
    </w:p>
    <w:p>
      <w:pPr>
        <w:spacing w:after="120" w:line="360"/>
      </w:pPr>
      <w:r>
        <w:rPr>
          <w:rFonts w:ascii="Arial" w:cs="Arial" w:eastAsia="Arial" w:hAnsi="Arial"/>
          <w:i/>
          <w:iCs/>
          <w:color w:val="888888"/>
          <w:sz w:val="22"/>
          <w:szCs w:val="22"/>
        </w:rPr>
        <w:t xml:space="preserve">If you completed Session 1, fill in the table below. If you completed Session 2, replace this section with your Boltzmann population data.</w:t>
      </w:r>
    </w:p>
    <w:p>
      <w:pPr>
        <w:spacing w:after="80"/>
      </w:pPr>
    </w:p>
    <w:p>
      <w:pPr>
        <w:spacing w:after="160" w:line="360"/>
      </w:pPr>
      <w:r>
        <w:rPr>
          <w:rFonts w:ascii="Arial" w:cs="Arial" w:eastAsia="Arial" w:hAnsi="Arial"/>
          <w:b/>
          <w:bCs/>
          <w:sz w:val="22"/>
          <w:szCs w:val="22"/>
        </w:rPr>
        <w:t xml:space="preserve">Table 1. </w:t>
      </w:r>
      <w:r>
        <w:rPr>
          <w:rFonts w:ascii="Arial" w:cs="Arial" w:eastAsia="Arial" w:hAnsi="Arial"/>
          <w:i/>
          <w:iCs/>
          <w:sz w:val="22"/>
          <w:szCs w:val="22"/>
        </w:rPr>
        <w:t xml:space="preserve">Computed absorption maximum (λmax) and oscillator strength (f) for PNA in water using different density functionals with the def2-TZVP basis set. The experimental reference is ~378 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600"/>
        <w:gridCol w:w="2360"/>
      </w:tblGrid>
      <w:t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Functional</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 HF Exchange</w:t>
            </w:r>
          </w:p>
        </w:tc>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λmax (nm)</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f</w:t>
            </w:r>
          </w:p>
        </w:tc>
        <w:tc>
          <w:tcPr>
            <w:tcW w:type="dxa" w:w="23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Error vs. Expt (nm)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bl>
    <w:p>
      <w:pPr>
        <w:spacing w:after="120"/>
      </w:pPr>
    </w:p>
    <w:p>
      <w:pPr>
        <w:spacing w:after="160" w:line="360"/>
      </w:pPr>
      <w:r>
        <w:rPr>
          <w:rFonts w:ascii="Arial" w:cs="Arial" w:eastAsia="Arial" w:hAnsi="Arial"/>
          <w:b/>
          <w:bCs/>
          <w:sz w:val="22"/>
          <w:szCs w:val="22"/>
        </w:rPr>
        <w:t xml:space="preserve">Table 2. </w:t>
      </w:r>
      <w:r>
        <w:rPr>
          <w:rFonts w:ascii="Arial" w:cs="Arial" w:eastAsia="Arial" w:hAnsi="Arial"/>
          <w:i/>
          <w:iCs/>
          <w:sz w:val="22"/>
          <w:szCs w:val="22"/>
        </w:rPr>
        <w:t xml:space="preserve">Basis set convergence of the computed absorption maximum for PNA using the best-performing functional from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Basis Set</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Quality</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λmax (nm)</w:t>
            </w:r>
          </w:p>
        </w:tc>
        <w:tc>
          <w:tcPr>
            <w:tcW w:type="dxa" w:w="23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Δλmax vs. Largest Basis (nm)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bl>
    <w:p>
      <w:pPr>
        <w:spacing w:after="120"/>
      </w:pPr>
    </w:p>
    <w:p>
      <w:pPr>
        <w:pStyle w:val="Heading2"/>
        <w:spacing w:before="280" w:after="160"/>
      </w:pPr>
      <w:r>
        <w:rPr>
          <w:rFonts w:ascii="Arial" w:cs="Arial" w:eastAsia="Arial" w:hAnsi="Arial"/>
          <w:b/>
          <w:bCs/>
          <w:sz w:val="24"/>
          <w:szCs w:val="24"/>
        </w:rPr>
        <w:t xml:space="preserve">3.2 Boltzmann Population Analysis (Session 2)</w:t>
      </w:r>
    </w:p>
    <w:p>
      <w:pPr>
        <w:spacing w:after="120" w:line="360"/>
      </w:pPr>
      <w:r>
        <w:rPr>
          <w:rFonts w:ascii="Arial" w:cs="Arial" w:eastAsia="Arial" w:hAnsi="Arial"/>
          <w:i/>
          <w:iCs/>
          <w:color w:val="888888"/>
          <w:sz w:val="22"/>
          <w:szCs w:val="22"/>
        </w:rPr>
        <w:t xml:space="preserve">If you completed Session 2, fill in the table below with your Boltzmann-weighted conformer data.</w:t>
      </w:r>
    </w:p>
    <w:p>
      <w:pPr>
        <w:spacing w:after="80"/>
      </w:pPr>
    </w:p>
    <w:p>
      <w:pPr>
        <w:spacing w:after="160" w:line="360"/>
      </w:pPr>
      <w:r>
        <w:rPr>
          <w:rFonts w:ascii="Arial" w:cs="Arial" w:eastAsia="Arial" w:hAnsi="Arial"/>
          <w:b/>
          <w:bCs/>
          <w:sz w:val="22"/>
          <w:szCs w:val="22"/>
        </w:rPr>
        <w:t xml:space="preserve">Table 3. </w:t>
      </w:r>
      <w:r>
        <w:rPr>
          <w:rFonts w:ascii="Arial" w:cs="Arial" w:eastAsia="Arial" w:hAnsi="Arial"/>
          <w:i/>
          <w:iCs/>
          <w:sz w:val="22"/>
          <w:szCs w:val="22"/>
        </w:rPr>
        <w:t xml:space="preserve">Boltzmann populations of (1R,2S)-ephedrine conformers at 298.15 K after solvent-phase optimization in methanol. Only conformers with p ≥ 0.01 are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Conformer</w:t>
            </w:r>
          </w:p>
        </w:tc>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Rel. Energy (kcal/mol)</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Boltzmann Probability</w:t>
            </w:r>
          </w:p>
        </w:tc>
        <w:tc>
          <w:tcPr>
            <w:tcW w:type="dxa" w:w="23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Cumulative Probability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bl>
    <w:p>
      <w:pPr>
        <w:spacing w:after="120"/>
      </w:pPr>
    </w:p>
    <w:p>
      <w:pPr>
        <w:pStyle w:val="Heading2"/>
        <w:spacing w:before="280" w:after="160"/>
      </w:pPr>
      <w:r>
        <w:rPr>
          <w:rFonts w:ascii="Arial" w:cs="Arial" w:eastAsia="Arial" w:hAnsi="Arial"/>
          <w:b/>
          <w:bCs/>
          <w:sz w:val="24"/>
          <w:szCs w:val="24"/>
        </w:rPr>
        <w:t xml:space="preserve">3.3 Computed Spectra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Figure guidance</w:t>
            </w:r>
          </w:p>
          <w:p>
            <w:pPr>
              <w:spacing w:after="60"/>
            </w:pPr>
            <w:r>
              <w:rPr>
                <w:rFonts w:ascii="Arial" w:cs="Arial" w:eastAsia="Arial" w:hAnsi="Arial"/>
                <w:color w:val="444444"/>
                <w:sz w:val="20"/>
                <w:szCs w:val="20"/>
              </w:rPr>
              <w:t xml:space="preserve">Include at least one figure. Suggested figures:</w:t>
            </w:r>
          </w:p>
          <w:p>
            <w:pPr>
              <w:spacing w:after="60"/>
            </w:pPr>
            <w:r>
              <w:rPr>
                <w:rFonts w:ascii="Arial" w:cs="Arial" w:eastAsia="Arial" w:hAnsi="Arial"/>
                <w:color w:val="444444"/>
                <w:sz w:val="20"/>
                <w:szCs w:val="20"/>
              </w:rPr>
              <w:t xml:space="preserve">Session 1: Computed UV-Vis spectrum of PNA overlaid with the experimental reference.</w:t>
            </w:r>
          </w:p>
          <w:p>
            <w:pPr>
              <w:spacing w:after="60"/>
            </w:pPr>
            <w:r>
              <w:rPr>
                <w:rFonts w:ascii="Arial" w:cs="Arial" w:eastAsia="Arial" w:hAnsi="Arial"/>
                <w:color w:val="444444"/>
                <w:sz w:val="20"/>
                <w:szCs w:val="20"/>
              </w:rPr>
              <w:t xml:space="preserve">Session 1 (optional): Overlay of spectra from different functionals on the same axes.</w:t>
            </w:r>
          </w:p>
          <w:p>
            <w:pPr>
              <w:spacing w:after="60"/>
            </w:pPr>
            <w:r>
              <w:rPr>
                <w:rFonts w:ascii="Arial" w:cs="Arial" w:eastAsia="Arial" w:hAnsi="Arial"/>
                <w:color w:val="444444"/>
                <w:sz w:val="20"/>
                <w:szCs w:val="20"/>
              </w:rPr>
              <w:t xml:space="preserve">Session 2: Boltzmann-averaged ECD spectrum compared to experimental data.</w:t>
            </w:r>
          </w:p>
          <w:p>
            <w:pPr>
              <w:spacing w:after="60"/>
            </w:pPr>
            <w:r>
              <w:rPr>
                <w:rFonts w:ascii="Arial" w:cs="Arial" w:eastAsia="Arial" w:hAnsi="Arial"/>
                <w:color w:val="444444"/>
                <w:sz w:val="20"/>
                <w:szCs w:val="20"/>
              </w:rPr>
              <w:t xml:space="preserve">Session 2: Single conformer ECD vs. full ensemble ECD (from Exercise 3.1).</w:t>
            </w:r>
          </w:p>
          <w:p>
            <w:pPr>
              <w:spacing w:after="60"/>
            </w:pPr>
            <w:r>
              <w:rPr>
                <w:rFonts w:ascii="Arial" w:cs="Arial" w:eastAsia="Arial" w:hAnsi="Arial"/>
                <w:color w:val="444444"/>
                <w:sz w:val="20"/>
                <w:szCs w:val="20"/>
              </w:rPr>
              <w:t xml:space="preserve">Label all axes (wavelength in nm, ε or Δε in appropriate units). Include a legend.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tcMar>
              <w:top w:type="dxa" w:w="200"/>
              <w:left w:type="dxa" w:w="200"/>
              <w:bottom w:type="dxa" w:w="200"/>
              <w:right w:type="dxa" w:w="200"/>
            </w:tcMar>
          </w:tcPr>
          <w:p>
            <w:pPr>
              <w:spacing w:before="600" w:after="600"/>
              <w:jc w:val="center"/>
            </w:pPr>
            <w:r>
              <w:rPr>
                <w:rFonts w:ascii="Arial" w:cs="Arial" w:eastAsia="Arial" w:hAnsi="Arial"/>
                <w:i/>
                <w:iCs/>
                <w:color w:val="999999"/>
                <w:sz w:val="22"/>
                <w:szCs w:val="22"/>
              </w:rPr>
              <w:t xml:space="preserve">[Insert Figure 1 here]</w:t>
            </w:r>
          </w:p>
          <w:p>
            <w:pPr>
              <w:spacing w:after="100"/>
              <w:jc w:val="center"/>
            </w:pPr>
            <w:r>
              <w:rPr>
                <w:rFonts w:ascii="Arial" w:cs="Arial" w:eastAsia="Arial" w:hAnsi="Arial"/>
                <w:b/>
                <w:bCs/>
                <w:sz w:val="20"/>
                <w:szCs w:val="20"/>
              </w:rPr>
              <w:t xml:space="preserve">Figure 1. </w:t>
            </w:r>
            <w:r>
              <w:rPr>
                <w:rFonts w:ascii="Arial" w:cs="Arial" w:eastAsia="Arial" w:hAnsi="Arial"/>
                <w:i/>
                <w:iCs/>
                <w:color w:val="666666"/>
                <w:sz w:val="20"/>
                <w:szCs w:val="20"/>
              </w:rPr>
              <w:t xml:space="preserve">Replace this caption with a description of your primary spectrum figure.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tcMar>
              <w:top w:type="dxa" w:w="200"/>
              <w:left w:type="dxa" w:w="200"/>
              <w:bottom w:type="dxa" w:w="200"/>
              <w:right w:type="dxa" w:w="200"/>
            </w:tcMar>
          </w:tcPr>
          <w:p>
            <w:pPr>
              <w:spacing w:before="600" w:after="600"/>
              <w:jc w:val="center"/>
            </w:pPr>
            <w:r>
              <w:rPr>
                <w:rFonts w:ascii="Arial" w:cs="Arial" w:eastAsia="Arial" w:hAnsi="Arial"/>
                <w:i/>
                <w:iCs/>
                <w:color w:val="999999"/>
                <w:sz w:val="22"/>
                <w:szCs w:val="22"/>
              </w:rPr>
              <w:t xml:space="preserve">[Insert Figure 2 here]</w:t>
            </w:r>
          </w:p>
          <w:p>
            <w:pPr>
              <w:spacing w:after="100"/>
              <w:jc w:val="center"/>
            </w:pPr>
            <w:r>
              <w:rPr>
                <w:rFonts w:ascii="Arial" w:cs="Arial" w:eastAsia="Arial" w:hAnsi="Arial"/>
                <w:b/>
                <w:bCs/>
                <w:sz w:val="20"/>
                <w:szCs w:val="20"/>
              </w:rPr>
              <w:t xml:space="preserve">Figure 2. </w:t>
            </w:r>
            <w:r>
              <w:rPr>
                <w:rFonts w:ascii="Arial" w:cs="Arial" w:eastAsia="Arial" w:hAnsi="Arial"/>
                <w:i/>
                <w:iCs/>
                <w:color w:val="666666"/>
                <w:sz w:val="20"/>
                <w:szCs w:val="20"/>
              </w:rPr>
              <w:t xml:space="preserve">(Optional) Replace with caption for a second figure, or delete this placeholder.</w:t>
            </w:r>
          </w:p>
        </w:tc>
      </w:tr>
    </w:tbl>
    <w:p>
      <w:pPr>
        <w:spacing w:after="300"/>
      </w:pPr>
    </w:p>
    <w:p>
      <w:pPr>
        <w:pStyle w:val="Heading1"/>
        <w:spacing w:before="360" w:after="200"/>
      </w:pPr>
      <w:r>
        <w:rPr>
          <w:rFonts w:ascii="Arial" w:cs="Arial" w:eastAsia="Arial" w:hAnsi="Arial"/>
          <w:b/>
          <w:bCs/>
          <w:sz w:val="28"/>
          <w:szCs w:val="28"/>
        </w:rPr>
        <w:t xml:space="preserve">4. Discussion</w:t>
      </w:r>
    </w:p>
    <w:p>
      <w:pPr>
        <w:pStyle w:val="Heading2"/>
        <w:spacing w:before="280" w:after="160"/>
      </w:pPr>
      <w:r>
        <w:rPr>
          <w:rFonts w:ascii="Arial" w:cs="Arial" w:eastAsia="Arial" w:hAnsi="Arial"/>
          <w:b/>
          <w:bCs/>
          <w:sz w:val="24"/>
          <w:szCs w:val="24"/>
        </w:rPr>
        <w:t xml:space="preserve">4.1 Analysis of Results</w:t>
      </w:r>
    </w:p>
    <w:p>
      <w:pPr>
        <w:spacing w:after="120" w:line="360"/>
      </w:pPr>
      <w:r>
        <w:rPr>
          <w:rFonts w:ascii="Arial" w:cs="Arial" w:eastAsia="Arial" w:hAnsi="Arial"/>
          <w:i/>
          <w:iCs/>
          <w:color w:val="888888"/>
          <w:sz w:val="22"/>
          <w:szCs w:val="22"/>
        </w:rPr>
        <w:t xml:space="preserve">Discuss the key trends in your data. Address the discussion questions from the handout in the context of your results rather than as separate answers. For Session 1: How did functional choice affect the computed absorption maximum? Is there a systematic trend with HF exchange fraction? How well did the best functional reproduce the experimental value? For Session 2: How many conformers contributed meaningfully to the spectrum? Did any conformers produce ECD bands of opposite sign? How sensitive was the final spectrum to the Boltzmann threshold or energy cutoff?</w:t>
      </w:r>
    </w:p>
    <w:p>
      <w:pPr>
        <w:spacing w:after="400"/>
      </w:pPr>
    </w:p>
    <w:p>
      <w:pPr>
        <w:pStyle w:val="Heading2"/>
        <w:spacing w:before="280" w:after="160"/>
      </w:pPr>
      <w:r>
        <w:rPr>
          <w:rFonts w:ascii="Arial" w:cs="Arial" w:eastAsia="Arial" w:hAnsi="Arial"/>
          <w:b/>
          <w:bCs/>
          <w:sz w:val="24"/>
          <w:szCs w:val="24"/>
        </w:rPr>
        <w:t xml:space="preserve">4.2 Comparison to Experiment</w:t>
      </w:r>
    </w:p>
    <w:p>
      <w:pPr>
        <w:spacing w:after="120" w:line="360"/>
      </w:pPr>
      <w:r>
        <w:rPr>
          <w:rFonts w:ascii="Arial" w:cs="Arial" w:eastAsia="Arial" w:hAnsi="Arial"/>
          <w:i/>
          <w:iCs/>
          <w:color w:val="888888"/>
          <w:sz w:val="22"/>
          <w:szCs w:val="22"/>
        </w:rPr>
        <w:t xml:space="preserve">Compare your best computed spectrum to the experimental reference. For UV-Vis: What is the error in the absorption maximum (in nm and eV)? For ECD: Does the sign pattern of your computed spectrum match experiment? Are there bands that are shifted or missing? Discuss possible sources of error (functional limitations, basis set incompleteness, solvent model approximations, conformational sampling).</w:t>
      </w:r>
    </w:p>
    <w:p>
      <w:pPr>
        <w:spacing w:after="400"/>
      </w:pPr>
    </w:p>
    <w:p>
      <w:pPr>
        <w:pStyle w:val="Heading2"/>
        <w:spacing w:before="280" w:after="160"/>
      </w:pPr>
      <w:r>
        <w:rPr>
          <w:rFonts w:ascii="Arial" w:cs="Arial" w:eastAsia="Arial" w:hAnsi="Arial"/>
          <w:b/>
          <w:bCs/>
          <w:sz w:val="24"/>
          <w:szCs w:val="24"/>
        </w:rPr>
        <w:t xml:space="preserve">4.3 Method Recommendation</w:t>
      </w:r>
    </w:p>
    <w:p>
      <w:pPr>
        <w:spacing w:after="120" w:line="360"/>
      </w:pPr>
      <w:r>
        <w:rPr>
          <w:rFonts w:ascii="Arial" w:cs="Arial" w:eastAsia="Arial" w:hAnsi="Arial"/>
          <w:i/>
          <w:iCs/>
          <w:color w:val="888888"/>
          <w:sz w:val="22"/>
          <w:szCs w:val="22"/>
        </w:rPr>
        <w:t xml:space="preserve">Based on your benchmarking, what functional and basis set would you recommend for this type of calculation? Justify your recommendation by reference to your data and to at least one literature benchmark study (e.g., Eriksen et al. 2013, Bursch et al. 2022). For Session 2, also address what conformer search and Boltzmann threshold settings you would recommend.</w:t>
      </w:r>
    </w:p>
    <w:p>
      <w:pPr>
        <w:spacing w:after="400"/>
      </w:pPr>
    </w:p>
    <w:p>
      <w:pPr>
        <w:pStyle w:val="Heading1"/>
        <w:spacing w:before="360" w:after="200"/>
      </w:pPr>
      <w:r>
        <w:rPr>
          <w:rFonts w:ascii="Arial" w:cs="Arial" w:eastAsia="Arial" w:hAnsi="Arial"/>
          <w:b/>
          <w:bCs/>
          <w:sz w:val="28"/>
          <w:szCs w:val="28"/>
        </w:rPr>
        <w:t xml:space="preserve">5. Conclusion</w:t>
      </w:r>
    </w:p>
    <w:p>
      <w:pPr>
        <w:spacing w:after="120" w:line="360"/>
      </w:pPr>
      <w:r>
        <w:rPr>
          <w:rFonts w:ascii="Arial" w:cs="Arial" w:eastAsia="Arial" w:hAnsi="Arial"/>
          <w:i/>
          <w:iCs/>
          <w:color w:val="888888"/>
          <w:sz w:val="22"/>
          <w:szCs w:val="22"/>
        </w:rPr>
        <w:t xml:space="preserve">In 3–4 sentences, summarize your main findings. What did you learn about the sensitivity of TDDFT spectral predictions to methodological choices? What is the single most important takeaway from this session?</w:t>
      </w:r>
    </w:p>
    <w:p>
      <w:pPr>
        <w:spacing w:after="300"/>
      </w:pPr>
    </w:p>
    <w:p>
      <w:pPr>
        <w:pStyle w:val="Heading1"/>
        <w:spacing w:before="360" w:after="200"/>
      </w:pPr>
      <w:r>
        <w:rPr>
          <w:rFonts w:ascii="Arial" w:cs="Arial" w:eastAsia="Arial" w:hAnsi="Arial"/>
          <w:b/>
          <w:bCs/>
          <w:sz w:val="28"/>
          <w:szCs w:val="28"/>
        </w:rPr>
        <w:t xml:space="preserve">6.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Reference expectations</w:t>
            </w:r>
          </w:p>
          <w:p>
            <w:pPr>
              <w:spacing w:after="60"/>
            </w:pPr>
            <w:r>
              <w:rPr>
                <w:rFonts w:ascii="Arial" w:cs="Arial" w:eastAsia="Arial" w:hAnsi="Arial"/>
                <w:color w:val="444444"/>
                <w:sz w:val="20"/>
                <w:szCs w:val="20"/>
              </w:rPr>
              <w:t xml:space="preserve">Cite at least 2–3 references. You should cite the benchmarking literature referenced</w:t>
            </w:r>
          </w:p>
          <w:p>
            <w:pPr>
              <w:spacing w:after="60"/>
            </w:pPr>
            <w:r>
              <w:rPr>
                <w:rFonts w:ascii="Arial" w:cs="Arial" w:eastAsia="Arial" w:hAnsi="Arial"/>
                <w:color w:val="444444"/>
                <w:sz w:val="20"/>
                <w:szCs w:val="20"/>
              </w:rPr>
              <w:t xml:space="preserve">in the handout, plus any additional sources you consulted. Use a consistent citation</w:t>
            </w:r>
          </w:p>
          <w:p>
            <w:pPr>
              <w:spacing w:after="60"/>
            </w:pPr>
            <w:r>
              <w:rPr>
                <w:rFonts w:ascii="Arial" w:cs="Arial" w:eastAsia="Arial" w:hAnsi="Arial"/>
                <w:color w:val="444444"/>
                <w:sz w:val="20"/>
                <w:szCs w:val="20"/>
              </w:rPr>
              <w:t xml:space="preserve">format (ACS style is recommended). Some key references:</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Eriksen, J. J. et al. Failures of TDDFT in Describing the Lowest Intramolecular Charge-Transfer Excitation in para-Nitroaniline. Mol. Phys. 2013, 111, 1235–1248.</w:t>
            </w:r>
          </w:p>
          <w:p>
            <w:pPr>
              <w:spacing w:after="60"/>
            </w:pPr>
            <w:r>
              <w:rPr>
                <w:rFonts w:ascii="Arial" w:cs="Arial" w:eastAsia="Arial" w:hAnsi="Arial"/>
                <w:color w:val="444444"/>
                <w:sz w:val="20"/>
                <w:szCs w:val="20"/>
              </w:rPr>
              <w:t xml:space="preserve">Loos, P.-F.; Comin, M.; Blase, X.; Jacquemin, D. Reference Energies for Intramolecular Charge-Transfer Excitations. J. Chem. Theory Comput. 2021, 17, 3666–3686.</w:t>
            </w:r>
          </w:p>
          <w:p>
            <w:pPr>
              <w:spacing w:after="60"/>
            </w:pPr>
            <w:r>
              <w:rPr>
                <w:rFonts w:ascii="Arial" w:cs="Arial" w:eastAsia="Arial" w:hAnsi="Arial"/>
                <w:color w:val="444444"/>
                <w:sz w:val="20"/>
                <w:szCs w:val="20"/>
              </w:rPr>
              <w:t xml:space="preserve">Bursch, M.; et al. Angew. Chem. Int. Ed. 2022, 62, e202205735.</w:t>
            </w:r>
          </w:p>
          <w:p>
            <w:pPr>
              <w:spacing w:after="60"/>
            </w:pPr>
            <w:r>
              <w:rPr>
                <w:rFonts w:ascii="Arial" w:cs="Arial" w:eastAsia="Arial" w:hAnsi="Arial"/>
                <w:color w:val="444444"/>
                <w:sz w:val="20"/>
                <w:szCs w:val="20"/>
              </w:rPr>
              <w:t xml:space="preserve">Pescitelli, G.; Bruhn, T. Chirality 2016, 28, 466–474.</w:t>
            </w:r>
          </w:p>
          <w:p>
            <w:pPr>
              <w:spacing w:after="60"/>
            </w:pPr>
            <w:r>
              <w:rPr>
                <w:rFonts w:ascii="Arial" w:cs="Arial" w:eastAsia="Arial" w:hAnsi="Arial"/>
                <w:color w:val="444444"/>
                <w:sz w:val="20"/>
                <w:szCs w:val="20"/>
              </w:rPr>
              <w:t>Epifanovsky, E.; et al. Software for the Frontiers of Quantum Chemistry: An Overview of Developments in the Q-Chem 5 Package. J. Chem. Phys. 2021, 155, 084801. (Q-Chem reference)</w:t>
            </w:r>
          </w:p>
        </w:tc>
      </w:tr>
    </w:tbl>
    <w:p>
      <w:pPr>
        <w:spacing w:after="120"/>
      </w:pPr>
    </w:p>
    <w:p>
      <w:pPr>
        <w:spacing w:after="120" w:line="360"/>
      </w:pPr>
      <w:r>
        <w:rPr>
          <w:rFonts w:ascii="Arial" w:cs="Arial" w:eastAsia="Arial" w:hAnsi="Arial"/>
          <w:i/>
          <w:iCs/>
          <w:color w:val="888888"/>
          <w:sz w:val="22"/>
          <w:szCs w:val="22"/>
        </w:rPr>
        <w:t xml:space="preserve">[1]</w:t>
      </w:r>
    </w:p>
    <w:p>
      <w:pPr>
        <w:spacing w:after="120" w:line="360"/>
      </w:pPr>
      <w:r>
        <w:rPr>
          <w:rFonts w:ascii="Arial" w:cs="Arial" w:eastAsia="Arial" w:hAnsi="Arial"/>
          <w:i/>
          <w:iCs/>
          <w:color w:val="888888"/>
          <w:sz w:val="22"/>
          <w:szCs w:val="22"/>
        </w:rPr>
        <w:t xml:space="preserve">[2]</w:t>
      </w:r>
    </w:p>
    <w:p>
      <w:pPr>
        <w:spacing w:after="120" w:line="360"/>
      </w:pPr>
      <w:r>
        <w:rPr>
          <w:rFonts w:ascii="Arial" w:cs="Arial" w:eastAsia="Arial" w:hAnsi="Arial"/>
          <w:i/>
          <w:iCs/>
          <w:color w:val="888888"/>
          <w:sz w:val="22"/>
          <w:szCs w:val="22"/>
        </w:rPr>
        <w:t xml:space="preserve">[3]</w:t>
      </w:r>
    </w:p>
    <w:p>
      <w:pPr>
        <w:spacing w:after="200"/>
      </w:pPr>
    </w:p>
    <w:p>
      <w:r>
        <w:br w:type="page"/>
      </w:r>
    </w:p>
    <w:p>
      <w:pPr>
        <w:pStyle w:val="Heading1"/>
        <w:spacing w:before="360" w:after="200"/>
      </w:pPr>
      <w:r>
        <w:rPr>
          <w:rFonts w:ascii="Arial" w:cs="Arial" w:eastAsia="Arial" w:hAnsi="Arial"/>
          <w:b/>
          <w:bCs/>
          <w:sz w:val="28"/>
          <w:szCs w:val="28"/>
        </w:rPr>
        <w:t xml:space="preserve">Appendix: Discussion Question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Note</w:t>
            </w:r>
          </w:p>
          <w:p>
            <w:pPr>
              <w:spacing w:after="60"/>
            </w:pPr>
            <w:r>
              <w:rPr>
                <w:rFonts w:ascii="Arial" w:cs="Arial" w:eastAsia="Arial" w:hAnsi="Arial"/>
                <w:color w:val="444444"/>
                <w:sz w:val="20"/>
                <w:szCs w:val="20"/>
              </w:rPr>
              <w:t xml:space="preserve">Your instructor may ask you to answer the handout discussion questions here rather</w:t>
            </w:r>
          </w:p>
          <w:p>
            <w:pPr>
              <w:spacing w:after="60"/>
            </w:pPr>
            <w:r>
              <w:rPr>
                <w:rFonts w:ascii="Arial" w:cs="Arial" w:eastAsia="Arial" w:hAnsi="Arial"/>
                <w:color w:val="444444"/>
                <w:sz w:val="20"/>
                <w:szCs w:val="20"/>
              </w:rPr>
              <w:t xml:space="preserve">than integrating them into the Discussion section above. If so, answer each question</w:t>
            </w:r>
          </w:p>
          <w:p>
            <w:pPr>
              <w:spacing w:after="60"/>
            </w:pPr>
            <w:r>
              <w:rPr>
                <w:rFonts w:ascii="Arial" w:cs="Arial" w:eastAsia="Arial" w:hAnsi="Arial"/>
                <w:color w:val="444444"/>
                <w:sz w:val="20"/>
                <w:szCs w:val="20"/>
              </w:rPr>
              <w:t xml:space="preserve">in 3–5 sentences. If your instructor prefers the integrated approach, delete this appendix.</w:t>
            </w:r>
          </w:p>
        </w:tc>
      </w:tr>
    </w:tbl>
    <w:p>
      <w:pPr>
        <w:spacing w:after="120"/>
      </w:pPr>
    </w:p>
    <w:p>
      <w:pPr>
        <w:pStyle w:val="Heading2"/>
        <w:spacing w:before="280" w:after="160"/>
      </w:pPr>
      <w:r>
        <w:rPr>
          <w:rFonts w:ascii="Arial" w:cs="Arial" w:eastAsia="Arial" w:hAnsi="Arial"/>
          <w:b/>
          <w:bCs/>
          <w:sz w:val="24"/>
          <w:szCs w:val="24"/>
        </w:rPr>
        <w:t xml:space="preserve">Session 1 Questions</w:t>
      </w:r>
    </w:p>
    <w:p>
      <w:pPr>
        <w:spacing w:after="160" w:line="360"/>
      </w:pPr>
      <w:r>
        <w:rPr>
          <w:rFonts w:ascii="Arial" w:cs="Arial" w:eastAsia="Arial" w:hAnsi="Arial"/>
          <w:b/>
          <w:bCs/>
          <w:sz w:val="22"/>
          <w:szCs w:val="22"/>
        </w:rPr>
        <w:t xml:space="preserve">Q1: </w:t>
      </w:r>
      <w:r>
        <w:rPr>
          <w:rFonts w:ascii="Arial" w:cs="Arial" w:eastAsia="Arial" w:hAnsi="Arial"/>
          <w:sz w:val="22"/>
          <w:szCs w:val="22"/>
        </w:rPr>
        <w:t xml:space="preserve">Why use a dispersion correction (D3BJ) for the geometry optimization of a small planar molecule like PNA?</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Q2: </w:t>
      </w:r>
      <w:r>
        <w:rPr>
          <w:rFonts w:ascii="Arial" w:cs="Arial" w:eastAsia="Arial" w:hAnsi="Arial"/>
          <w:sz w:val="22"/>
          <w:szCs w:val="22"/>
        </w:rPr>
        <w:t xml:space="preserve">How many conformers did Confab produce for PNA, and why? What molecular features would lead to many conformers?</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Q3: </w:t>
      </w:r>
      <w:r>
        <w:rPr>
          <w:rFonts w:ascii="Arial" w:cs="Arial" w:eastAsia="Arial" w:hAnsi="Arial"/>
          <w:sz w:val="22"/>
          <w:szCs w:val="22"/>
        </w:rPr>
        <w:t xml:space="preserve">What is the difference between TDA and full TDDFT? When might TDA be preferred?</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Q4: </w:t>
      </w:r>
      <w:r>
        <w:rPr>
          <w:rFonts w:ascii="Arial" w:cs="Arial" w:eastAsia="Arial" w:hAnsi="Arial"/>
          <w:sz w:val="22"/>
          <w:szCs w:val="22"/>
        </w:rPr>
        <w:t xml:space="preserve">What trend in λmax do you see as HF exchange increases? How does this relate to the charge-transfer character of PNA?</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Q5: </w:t>
      </w:r>
      <w:r>
        <w:rPr>
          <w:rFonts w:ascii="Arial" w:cs="Arial" w:eastAsia="Arial" w:hAnsi="Arial"/>
          <w:sz w:val="22"/>
          <w:szCs w:val="22"/>
        </w:rPr>
        <w:t xml:space="preserve">Is there a practical benefit to def2-TZVPP over def2-TZVP for this system?</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Q6: </w:t>
      </w:r>
      <w:r>
        <w:rPr>
          <w:rFonts w:ascii="Arial" w:cs="Arial" w:eastAsia="Arial" w:hAnsi="Arial"/>
          <w:sz w:val="22"/>
          <w:szCs w:val="22"/>
        </w:rPr>
        <w:t xml:space="preserve">What is the physical origin of PNA’s positive solvatochromism, and how well does CPCM capture it?</w:t>
      </w:r>
    </w:p>
    <w:p>
      <w:pPr>
        <w:spacing w:after="120" w:line="360"/>
      </w:pPr>
      <w:r>
        <w:rPr>
          <w:rFonts w:ascii="Arial" w:cs="Arial" w:eastAsia="Arial" w:hAnsi="Arial"/>
          <w:i/>
          <w:iCs/>
          <w:color w:val="888888"/>
          <w:sz w:val="22"/>
          <w:szCs w:val="22"/>
        </w:rPr>
        <w:t xml:space="preserve">Your answer here.</w:t>
      </w:r>
    </w:p>
    <w:p>
      <w:pPr>
        <w:spacing w:after="200"/>
      </w:pPr>
    </w:p>
    <w:p>
      <w:r>
        <w:br w:type="page"/>
      </w:r>
    </w:p>
    <w:p>
      <w:pPr>
        <w:pStyle w:val="Heading2"/>
        <w:spacing w:before="280" w:after="160"/>
      </w:pPr>
      <w:r>
        <w:rPr>
          <w:rFonts w:ascii="Arial" w:cs="Arial" w:eastAsia="Arial" w:hAnsi="Arial"/>
          <w:b/>
          <w:bCs/>
          <w:sz w:val="24"/>
          <w:szCs w:val="24"/>
        </w:rPr>
        <w:t xml:space="preserve">Session 2 Questions</w:t>
      </w:r>
    </w:p>
    <w:p>
      <w:pPr>
        <w:spacing w:after="160" w:line="360"/>
      </w:pPr>
      <w:r>
        <w:rPr>
          <w:rFonts w:ascii="Arial" w:cs="Arial" w:eastAsia="Arial" w:hAnsi="Arial"/>
          <w:b/>
          <w:bCs/>
          <w:sz w:val="22"/>
          <w:szCs w:val="22"/>
        </w:rPr>
        <w:t xml:space="preserve">Q1: </w:t>
      </w:r>
      <w:r>
        <w:rPr>
          <w:rFonts w:ascii="Arial" w:cs="Arial" w:eastAsia="Arial" w:hAnsi="Arial"/>
          <w:sz w:val="22"/>
          <w:szCs w:val="22"/>
        </w:rPr>
        <w:t xml:space="preserve">Compare the conformer count for ephedrine to PNA. What structural features drive conformational diversity?</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Q2: </w:t>
      </w:r>
      <w:r>
        <w:rPr>
          <w:rFonts w:ascii="Arial" w:cs="Arial" w:eastAsia="Arial" w:hAnsi="Arial"/>
          <w:sz w:val="22"/>
          <w:szCs w:val="22"/>
        </w:rPr>
        <w:t xml:space="preserve">How many conformers survived the 1% threshold? What would happen at a 5% threshold?</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Q3: </w:t>
      </w:r>
      <w:r>
        <w:rPr>
          <w:rFonts w:ascii="Arial" w:cs="Arial" w:eastAsia="Arial" w:hAnsi="Arial"/>
          <w:sz w:val="22"/>
          <w:szCs w:val="22"/>
        </w:rPr>
        <w:t xml:space="preserve">Compare the single lowest-energy conformer ECD to the Boltzmann-averaged spectrum. Are there sign changes?</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Q4: </w:t>
      </w:r>
      <w:r>
        <w:rPr>
          <w:rFonts w:ascii="Arial" w:cs="Arial" w:eastAsia="Arial" w:hAnsi="Arial"/>
          <w:sz w:val="22"/>
          <w:szCs w:val="22"/>
        </w:rPr>
        <w:t xml:space="preserve">Did the tighter energy cutoff change the ECD spectrum? What cutoff would you recommend as a safe default?</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Q5: </w:t>
      </w:r>
      <w:r>
        <w:rPr>
          <w:rFonts w:ascii="Arial" w:cs="Arial" w:eastAsia="Arial" w:hAnsi="Arial"/>
          <w:sz w:val="22"/>
          <w:szCs w:val="22"/>
        </w:rPr>
        <w:t xml:space="preserve">How did the number of conformers generated by CREST compare to Confab? Did the Boltzmann-averaged ECD spectrum change when the CREST ensemble was used? Which method would you recommend for a molecule with more rotatable bonds, and why?</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Q6: </w:t>
      </w:r>
      <w:r>
        <w:rPr>
          <w:rFonts w:ascii="Arial" w:cs="Arial" w:eastAsia="Arial" w:hAnsi="Arial"/>
          <w:sz w:val="22"/>
          <w:szCs w:val="22"/>
        </w:rPr>
        <w:t xml:space="preserve">Does your computed ECD support the (1R,2S) absolute configuration? What level of agreement is sufficient?</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Q7: </w:t>
      </w:r>
      <w:r>
        <w:rPr>
          <w:rFonts w:ascii="Arial" w:cs="Arial" w:eastAsia="Arial" w:hAnsi="Arial"/>
          <w:sz w:val="22"/>
          <w:szCs w:val="22"/>
        </w:rPr>
        <w:t xml:space="preserve">If starting a new ECD project on an unknown molecule, what would your step-by-step protocol be?</w:t>
      </w:r>
    </w:p>
    <w:p>
      <w:pPr>
        <w:spacing w:after="120" w:line="360"/>
      </w:pPr>
      <w:r>
        <w:rPr>
          <w:rFonts w:ascii="Arial" w:cs="Arial" w:eastAsia="Arial" w:hAnsi="Arial"/>
          <w:i/>
          <w:iCs/>
          <w:color w:val="888888"/>
          <w:sz w:val="22"/>
          <w:szCs w:val="22"/>
        </w:rPr>
        <w:t xml:space="preserve">Your answer 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Computational Spectroscopy Module — Student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2026-02-09T16:09:37.498Z</dcterms:created>
  <dcterms:modified xsi:type="dcterms:W3CDTF">2026-02-09T16:09:37.499Z</dcterms:modified>
</cp:coreProperties>
</file>

<file path=docProps/custom.xml><?xml version="1.0" encoding="utf-8"?>
<Properties xmlns="http://schemas.openxmlformats.org/officeDocument/2006/custom-properties" xmlns:vt="http://schemas.openxmlformats.org/officeDocument/2006/docPropsVTypes"/>
</file>