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sz w:val="28"/>
        </w:rPr>
        <w:t>Computational Electronic Spectroscopy Module</w:t>
      </w:r>
    </w:p>
    <w:p>
      <w:pPr>
        <w:spacing w:before="0" w:after="60"/>
      </w:pPr>
      <w:r>
        <w:rPr>
          <w:rFonts w:ascii="Arial" w:hAnsi="Arial"/>
          <w:b/>
          <w:i w:val="0"/>
          <w:sz w:val="26"/>
        </w:rPr>
        <w:t>Q-Chem Lab A: UV-Vis Spectra and Charge-Transfer Excited States in DMABN</w:t>
      </w:r>
    </w:p>
    <w:p>
      <w:pPr>
        <w:spacing w:before="0" w:after="40"/>
      </w:pPr>
      <w:r>
        <w:rPr>
          <w:rFonts w:ascii="Arial" w:hAnsi="Arial"/>
          <w:b w:val="0"/>
          <w:i/>
          <w:sz w:val="20"/>
        </w:rPr>
        <w:t>Student Handout: Cross-Software Comparison Lab (Q-Chem vs. ORCA)</w:t>
      </w:r>
    </w:p>
    <w:p>
      <w:pPr>
        <w:spacing w:before="0" w:after="160"/>
      </w:pPr>
      <w:r>
        <w:rPr>
          <w:rFonts w:ascii="Arial" w:hAnsi="Arial"/>
          <w:b w:val="0"/>
          <w:i/>
          <w:sz w:val="20"/>
        </w:rPr>
        <w:t>Estimated duration: 3 hours  |  Prerequisite: ORCA Session 1 (UV-Vis Benchmarking with PNA)</w:t>
      </w:r>
    </w:p>
    <w:p>
      <w:pPr>
        <w:spacing w:before="360" w:after="160"/>
      </w:pPr>
      <w:r>
        <w:rPr>
          <w:rFonts w:ascii="Arial" w:hAnsi="Arial"/>
          <w:b/>
          <w:i w:val="0"/>
          <w:sz w:val="28"/>
        </w:rPr>
        <w:t>Overview</w:t>
      </w:r>
    </w:p>
    <w:p>
      <w:pPr>
        <w:spacing w:before="0" w:after="100"/>
      </w:pPr>
      <w:r>
        <w:rPr>
          <w:rFonts w:ascii="Arial" w:hAnsi="Arial"/>
          <w:b w:val="0"/>
          <w:i w:val="0"/>
          <w:sz w:val="20"/>
        </w:rPr>
        <w:t>This lab runs the same six-stage computational workflow you used in ORCA Session 1, but in a different program (Q-Chem) and with a different molecule. You will compute the UV-Vis absorption spectrum of 4-(dimethylamino)benzonitrile (DMABN), a molecule whose electronic structure is considerably richer than para-nitroaniline, and you will directly compare key results to those you obtained with ORCA.</w:t>
      </w:r>
    </w:p>
    <w:p>
      <w:pPr>
        <w:spacing w:before="0" w:after="100"/>
      </w:pPr>
      <w:r>
        <w:rPr>
          <w:rFonts w:ascii="Arial" w:hAnsi="Arial"/>
          <w:b w:val="0"/>
          <w:i w:val="0"/>
          <w:sz w:val="20"/>
        </w:rPr>
        <w:t>DMABN is famous for exhibiting dual fluorescence in polar solvents: it emits from two distinct excited states, one with local (π→π*) character and one with intramolecular charge-transfer (CT) character. In absorption, these two states appear as distinct bands. Standard hybrid functionals such as B3LYP often fail to correctly predict both states simultaneously, while range-separated hybrids recover them more accurately. This makes DMABN a richer benchmarking target than PNA, where a single dominant band was the focus.</w:t>
      </w:r>
    </w:p>
    <w:p>
      <w:pPr>
        <w:spacing w:before="0" w:after="100"/>
      </w:pPr>
      <w:r>
        <w:rPr>
          <w:rFonts w:ascii="Arial" w:hAnsi="Arial"/>
          <w:b w:val="0"/>
          <w:i w:val="0"/>
          <w:sz w:val="20"/>
        </w:rPr>
        <w:t>A central goal of this lab is to understand why Q-Chem and ORCA give slightly different results for the same theoretical method. You will learn that these differences arise from legitimate numerical choices (grid implementations, SCF algorithms, cavity construction), not from errors. This is a realistic part of working in computational chemistry.</w:t>
      </w:r>
    </w:p>
    <w:p>
      <w:pPr>
        <w:spacing w:before="0" w:after="100"/>
      </w:pPr>
      <w:r>
        <w:rPr>
          <w:rFonts w:ascii="Arial" w:hAnsi="Arial"/>
          <w:b w:val="0"/>
          <w:i w:val="0"/>
          <w:sz w:val="20"/>
        </w:rPr>
      </w:r>
    </w:p>
    <w:p>
      <w:pPr>
        <w:spacing w:before="360" w:after="160"/>
      </w:pPr>
      <w:r>
        <w:rPr>
          <w:rFonts w:ascii="Arial" w:hAnsi="Arial"/>
          <w:b/>
          <w:i w:val="0"/>
          <w:sz w:val="28"/>
        </w:rPr>
        <w:t>Learning Objectives</w:t>
      </w:r>
    </w:p>
    <w:p>
      <w:pPr>
        <w:spacing w:before="0" w:after="100"/>
      </w:pPr>
      <w:r>
        <w:rPr>
          <w:rFonts w:ascii="Arial" w:hAnsi="Arial"/>
          <w:b w:val="0"/>
          <w:i w:val="0"/>
          <w:sz w:val="20"/>
        </w:rPr>
        <w:t>By the end of this session, you should be able to:</w:t>
      </w:r>
    </w:p>
    <w:p>
      <w:pPr>
        <w:pStyle w:val="ListBullet"/>
        <w:spacing w:after="60"/>
      </w:pPr>
      <w:r>
        <w:rPr>
          <w:rFonts w:ascii="Arial" w:hAnsi="Arial"/>
          <w:sz w:val="20"/>
        </w:rPr>
        <w:t>Navigate the Q-Chem six-stage workflow and identify the role of each stage.</w:t>
      </w:r>
    </w:p>
    <w:p>
      <w:pPr>
        <w:pStyle w:val="ListBullet"/>
        <w:spacing w:after="60"/>
      </w:pPr>
      <w:r>
        <w:rPr>
          <w:rFonts w:ascii="Arial" w:hAnsi="Arial"/>
          <w:sz w:val="20"/>
        </w:rPr>
        <w:t>Explain what dual fluorescence is and why DMABN is a challenging benchmarking target for TD-DFT.</w:t>
      </w:r>
    </w:p>
    <w:p>
      <w:pPr>
        <w:pStyle w:val="ListBullet"/>
        <w:spacing w:after="60"/>
      </w:pPr>
      <w:r>
        <w:rPr>
          <w:rFonts w:ascii="Arial" w:hAnsi="Arial"/>
          <w:sz w:val="20"/>
        </w:rPr>
        <w:t>Evaluate how functional choice (local hybrid vs. range-separated hybrid) affects the predicted energies and character of both the local and charge-transfer excited states.</w:t>
      </w:r>
    </w:p>
    <w:p>
      <w:pPr>
        <w:pStyle w:val="ListBullet"/>
        <w:spacing w:after="60"/>
      </w:pPr>
      <w:r>
        <w:rPr>
          <w:rFonts w:ascii="Arial" w:hAnsi="Arial"/>
          <w:sz w:val="20"/>
        </w:rPr>
        <w:t>Quantitatively compare results between Q-Chem and ORCA for the same theoretical method and explain why small differences arise.</w:t>
      </w:r>
    </w:p>
    <w:p>
      <w:pPr>
        <w:pStyle w:val="ListBullet"/>
        <w:spacing w:after="60"/>
      </w:pPr>
      <w:r>
        <w:rPr>
          <w:rFonts w:ascii="Arial" w:hAnsi="Arial"/>
          <w:sz w:val="20"/>
        </w:rPr>
        <w:t>Produce a broadened UV-Vis spectrum, identify the two principal absorption bands, and compare them to experimental data.</w:t>
      </w:r>
    </w:p>
    <w:p>
      <w:pPr>
        <w:spacing w:before="0" w:after="100"/>
      </w:pPr>
      <w:r>
        <w:rPr>
          <w:rFonts w:ascii="Arial" w:hAnsi="Arial"/>
          <w:b w:val="0"/>
          <w:i w:val="0"/>
          <w:sz w:val="20"/>
        </w:rPr>
      </w:r>
    </w:p>
    <w:p>
      <w:pPr>
        <w:spacing w:before="360" w:after="160"/>
      </w:pPr>
      <w:r>
        <w:rPr>
          <w:rFonts w:ascii="Arial" w:hAnsi="Arial"/>
          <w:b/>
          <w:i w:val="0"/>
          <w:sz w:val="28"/>
        </w:rPr>
        <w:t>Background: DMABN and Charge-Transfer Excited States</w:t>
      </w:r>
    </w:p>
    <w:p>
      <w:pPr>
        <w:spacing w:before="0" w:after="100"/>
      </w:pPr>
      <w:r>
        <w:rPr>
          <w:rFonts w:ascii="Arial" w:hAnsi="Arial"/>
          <w:b w:val="0"/>
          <w:i w:val="0"/>
          <w:sz w:val="20"/>
        </w:rPr>
        <w:t>DMABN (4-(dimethylamino)benzonitrile, MW 146 g/mol, PubChem CID 10489) consists of a benzene ring bearing a strong electron donor (dimethylamino, –NMe₂) and a strong electron acceptor (cyano, –CN) in para positions. In its ground state the molecule is essentially planar. Its UV-Vis absorption spectrum in polar solvents shows two overlapping bands: a stronger band near 280–290 nm arising from a local π→π* transition (the LE state) and a weaker band near 320–340 nm with substantial charge-transfer character (the CT state).</w:t>
      </w:r>
    </w:p>
    <w:p>
      <w:pPr>
        <w:spacing w:before="0" w:after="100"/>
      </w:pPr>
      <w:r>
        <w:rPr>
          <w:rFonts w:ascii="Arial" w:hAnsi="Arial"/>
          <w:b w:val="0"/>
          <w:i w:val="0"/>
          <w:sz w:val="20"/>
        </w:rPr>
        <w:t>The CT state arises from an electron being transferred from the amino donor to the cyano acceptor. In emission, this CT state is dramatically stabilized by polar solvents and its emission wavelength can shift by more than 100 nm relative to the local emission, producing the famous dual fluorescence. The stabilization of the CT state in polar solvents is also visible in absorption: the CT band shifts to longer wavelengths as solvent polarity increases.</w:t>
      </w:r>
    </w:p>
    <w:p>
      <w:pPr>
        <w:spacing w:before="0" w:after="100"/>
      </w:pPr>
      <w:r>
        <w:rPr>
          <w:rFonts w:ascii="Arial" w:hAnsi="Arial"/>
          <w:b w:val="0"/>
          <w:i w:val="0"/>
          <w:sz w:val="20"/>
        </w:rPr>
        <w:t>For TD-DFT, the central challenge is that the CT excitation energy depends strongly on the fraction of exact Hartree-Fock exchange. Local and standard hybrid functionals (B3LYP, 20% HF exchange) underestimate CT excitation energies due to the self-interaction error, often predicting the CT state far too low in energy and sometimes incorrectly ordering the LE and CT states. Range-separated hybrids (CAM-B3LYP, ωB97X-D3) correct the asymptotic exchange potential and predict both states more accurately. Evaluating this effect across functionals is the main benchmarking exercise in this lab.</w:t>
      </w:r>
    </w:p>
    <w:p>
      <w:pPr>
        <w:spacing w:before="0" w:after="100"/>
      </w:pPr>
      <w:r>
        <w:rPr>
          <w:rFonts w:ascii="Arial" w:hAnsi="Arial"/>
          <w:b w:val="0"/>
          <w:i w:val="0"/>
          <w:sz w:val="20"/>
        </w:rPr>
      </w:r>
    </w:p>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80" w:type="dxa"/>
              <w:bottom w:w="80" w:type="dxa"/>
              <w:left w:w="140" w:type="dxa"/>
              <w:right w:w="140" w:type="dxa"/>
            </w:tcMar>
            <w:tcW w:w="9360" w:type="dxa"/>
          </w:tcPr>
          <w:p>
            <w:pPr>
              <w:spacing w:before="0" w:after="60"/>
            </w:pPr>
            <w:r>
              <w:rPr>
                <w:rFonts w:ascii="Arial" w:hAnsi="Arial"/>
                <w:sz w:val="20"/>
                <w:b/>
              </w:rPr>
              <w:t xml:space="preserve">Why DMABN instead of PNA?</w:t>
            </w:r>
          </w:p>
          <w:p>
            <w:pPr>
              <w:spacing w:before="0" w:after="60"/>
            </w:pPr>
            <w:r>
              <w:rPr>
                <w:rFonts w:ascii="Arial" w:hAnsi="Arial"/>
                <w:sz w:val="20"/>
              </w:rPr>
              <w:t xml:space="preserve">Para-nitroaniline (PNA, ORCA Session 1) has a single dominant charge-transfer band that serves well for a first benchmark. DMABN presents a harder challenge: two overlapping excited states of different character that must both be correctly described. Standard functionals that give a reasonable PNA spectrum can fail completely for DMABN by predicting only one broad band where experiment shows two, or by inverting the LE/CT state ordering.</w:t>
            </w:r>
          </w:p>
          <w:p>
            <w:pPr>
              <w:spacing w:before="0" w:after="60"/>
            </w:pPr>
            <w:r>
              <w:rPr>
                <w:rFonts w:ascii="Arial" w:hAnsi="Arial"/>
                <w:sz w:val="20"/>
              </w:rPr>
              <w:t xml:space="preserve"/>
            </w:r>
          </w:p>
          <w:p>
            <w:pPr>
              <w:spacing w:before="0" w:after="60"/>
            </w:pPr>
            <w:r>
              <w:rPr>
                <w:rFonts w:ascii="Arial" w:hAnsi="Arial"/>
                <w:sz w:val="20"/>
              </w:rPr>
              <w:t xml:space="preserve">Comparing your DMABN Q-Chem results to your PNA ORCA results also demonstrates that different programs are not interchangeable black boxes; each makes distinct numerical choices that produce subtly different spectra even for identical methods.</w:t>
            </w:r>
          </w:p>
        </w:tc>
      </w:tr>
    </w:tbl>
    <w:p>
      <w:pPr>
        <w:spacing w:before="0" w:after="100"/>
      </w:pPr>
      <w:r>
        <w:rPr>
          <w:rFonts w:ascii="Arial" w:hAnsi="Arial"/>
          <w:b w:val="0"/>
          <w:i w:val="0"/>
          <w:sz w:val="20"/>
        </w:rPr>
      </w:r>
    </w:p>
    <w:tbl>
      <w:tblPr>
        <w:tblLook w:firstColumn="1" w:firstRow="1" w:lastColumn="0" w:lastRow="0" w:noHBand="0" w:noVBand="1" w:val="04A0"/>
        <w:tblW w:w="9360" w:type="dxa"/>
      </w:tblPr>
      <w:tblGrid>
        <w:gridCol w:w="9360"/>
      </w:tblGrid>
      <w:tr>
        <w:tc>
          <w:tcPr>
            <w:tcBorders>
              <w:top w:val="single" w:sz="6" w:color="375623"/>
              <w:bottom w:val="single" w:sz="6" w:color="375623"/>
              <w:left w:val="single" w:sz="6" w:color="375623"/>
              <w:right w:val="single" w:sz="6" w:color="375623"/>
            </w:tcBorders>
            <w:shd w:val="clear" w:color="auto" w:fill="E2EFDA"/>
            <w:tcMar>
              <w:top w:w="80" w:type="dxa"/>
              <w:bottom w:w="80" w:type="dxa"/>
              <w:left w:w="140" w:type="dxa"/>
              <w:right w:w="140" w:type="dxa"/>
            </w:tcMar>
            <w:tcW w:w="9360" w:type="dxa"/>
          </w:tcPr>
          <w:p>
            <w:pPr>
              <w:spacing w:before="0" w:after="60"/>
            </w:pPr>
            <w:r>
              <w:rPr>
                <w:rFonts w:ascii="Arial" w:hAnsi="Arial"/>
                <w:sz w:val="20"/>
                <w:b/>
                <w:color w:val="375623"/>
              </w:rPr>
              <w:t xml:space="preserve">Cross-Software Comparison: Why Q-Chem and ORCA Give Different Results</w:t>
            </w:r>
          </w:p>
          <w:p>
            <w:pPr>
              <w:spacing w:before="0" w:after="60"/>
            </w:pPr>
            <w:r>
              <w:rPr>
                <w:rFonts w:ascii="Arial" w:hAnsi="Arial"/>
                <w:sz w:val="20"/>
              </w:rPr>
              <w:t xml:space="preserve">Q-Chem and ORCA are two of the most widely used quantum chemistry packages, and both correctly implement the same density functional theory and TD-DFT formalism. Nevertheless, running the same calculation (same functional, same basis set, same solvent model) in both programs will typically yield results that differ by small but measurable amounts. These differences are not errors; they arise from legitimate numerical choices each program makes:</w:t>
            </w:r>
          </w:p>
          <w:p>
            <w:pPr>
              <w:spacing w:before="0" w:after="60"/>
            </w:pPr>
            <w:r>
              <w:rPr>
                <w:rFonts w:ascii="Arial" w:hAnsi="Arial"/>
                <w:sz w:val="20"/>
              </w:rPr>
              <w:t xml:space="preserve"/>
            </w:r>
          </w:p>
          <w:p>
            <w:pPr>
              <w:spacing w:before="0" w:after="60"/>
            </w:pPr>
            <w:r>
              <w:rPr>
                <w:rFonts w:ascii="Arial" w:hAnsi="Arial"/>
                <w:sz w:val="20"/>
              </w:rPr>
              <w:t xml:space="preserve">1. Numerical integration grids: DFT exchange-correlation integrals are evaluated on a numerical quadrature grid. Q-Chem's SG-3 (Standard Grid 3) and ORCA's DEFGRID3 both target high accuracy but use different pruning schemes, angular quadrature points, and radial scaling. Small differences in grid point placement produce small differences in computed DFT energies.</w:t>
            </w:r>
          </w:p>
          <w:p>
            <w:pPr>
              <w:spacing w:before="0" w:after="60"/>
            </w:pPr>
            <w:r>
              <w:rPr>
                <w:rFonts w:ascii="Arial" w:hAnsi="Arial"/>
                <w:sz w:val="20"/>
              </w:rPr>
              <w:t xml:space="preserve"/>
            </w:r>
          </w:p>
          <w:p>
            <w:pPr>
              <w:spacing w:before="0" w:after="60"/>
            </w:pPr>
            <w:r>
              <w:rPr>
                <w:rFonts w:ascii="Arial" w:hAnsi="Arial"/>
                <w:sz w:val="20"/>
              </w:rPr>
              <w:t xml:space="preserve">2. SCF algorithm: Q-Chem uses DIIS_GDM (a geometric direct minimization variant of DIIS) as its default. ORCA uses standard DIIS. Different convergence paths can produce slightly different final wavefunctions even for the same theoretical method.</w:t>
            </w:r>
          </w:p>
          <w:p>
            <w:pPr>
              <w:spacing w:before="0" w:after="60"/>
            </w:pPr>
            <w:r>
              <w:rPr>
                <w:rFonts w:ascii="Arial" w:hAnsi="Arial"/>
                <w:sz w:val="20"/>
              </w:rPr>
              <w:t xml:space="preserve"/>
            </w:r>
          </w:p>
          <w:p>
            <w:pPr>
              <w:spacing w:before="0" w:after="60"/>
            </w:pPr>
            <w:r>
              <w:rPr>
                <w:rFonts w:ascii="Arial" w:hAnsi="Arial"/>
                <w:sz w:val="20"/>
              </w:rPr>
              <w:t xml:space="preserve">3. Implicit solvation (SMD): Both programs implement the Marenich-Cramer-Truhlar SMD model, but use different algorithms to construct the molecular cavity surface. Small differences in solvent-accessible surface area shift solvation energies by a few tenths of a kcal/mol, which propagates to excitation energies.</w:t>
            </w:r>
          </w:p>
          <w:p>
            <w:pPr>
              <w:spacing w:before="0" w:after="60"/>
            </w:pPr>
            <w:r>
              <w:rPr>
                <w:rFonts w:ascii="Arial" w:hAnsi="Arial"/>
                <w:sz w:val="20"/>
              </w:rPr>
              <w:t xml:space="preserve"/>
            </w:r>
          </w:p>
          <w:p>
            <w:pPr>
              <w:spacing w:before="0" w:after="60"/>
            </w:pPr>
            <w:r>
              <w:rPr>
                <w:rFonts w:ascii="Arial" w:hAnsi="Arial"/>
                <w:sz w:val="20"/>
              </w:rPr>
              <w:t xml:space="preserve">4. Approximations for Coulomb integrals: ORCA commonly uses the RIJCOSX approximation when an auxiliary basis is specified. Q-Chem uses exact Coulomb integrals by default for pure DFT, and applies RI selectively. These approximations are very accurate but are not identical.</w:t>
            </w:r>
          </w:p>
          <w:p>
            <w:pPr>
              <w:spacing w:before="0" w:after="60"/>
            </w:pPr>
            <w:r>
              <w:rPr>
                <w:rFonts w:ascii="Arial" w:hAnsi="Arial"/>
                <w:sz w:val="20"/>
              </w:rPr>
              <w:t xml:space="preserve"/>
            </w:r>
          </w:p>
          <w:p>
            <w:pPr>
              <w:spacing w:before="0" w:after="60"/>
            </w:pPr>
            <w:r>
              <w:rPr>
                <w:rFonts w:ascii="Arial" w:hAnsi="Arial"/>
                <w:sz w:val="20"/>
              </w:rPr>
              <w:t xml:space="preserve">Expected magnitude of differences: For UV-Vis excitation energies, expect 1–5 nm between the two programs with the same functional and basis set. For vibrational frequencies, expect 2–15 cm⁻¹. Much larger differences (&gt;20 nm, &gt;50 cm⁻¹) suggest a difference in settings rather than a fundamental limitation.</w:t>
            </w:r>
          </w:p>
          <w:p>
            <w:pPr>
              <w:spacing w:before="0" w:after="60"/>
            </w:pPr>
            <w:r>
              <w:rPr>
                <w:rFonts w:ascii="Arial" w:hAnsi="Arial"/>
                <w:sz w:val="20"/>
              </w:rPr>
              <w:t xml:space="preserve"/>
            </w:r>
          </w:p>
          <w:p>
            <w:pPr>
              <w:spacing w:before="0" w:after="60"/>
            </w:pPr>
            <w:r>
              <w:rPr>
                <w:rFonts w:ascii="Arial" w:hAnsi="Arial"/>
                <w:sz w:val="20"/>
              </w:rPr>
              <w:t xml:space="preserve">How to use this: After completing Part 2 with Q-Chem, return to your ORCA Session 1 PNA results. In Exercise 3.3 you will run the same functional comparison for both molecules in both programs and build a systematic picture of where the two programs agree and where they diverge.</w:t>
            </w:r>
          </w:p>
        </w:tc>
      </w:tr>
    </w:tbl>
    <w:p>
      <w:pPr>
        <w:spacing w:before="0" w:after="100"/>
      </w:pPr>
      <w:r>
        <w:rPr>
          <w:rFonts w:ascii="Arial" w:hAnsi="Arial"/>
          <w:b w:val="0"/>
          <w:i w:val="0"/>
          <w:sz w:val="20"/>
        </w:rPr>
      </w:r>
    </w:p>
    <w:p>
      <w:pPr>
        <w:spacing w:before="360" w:after="160"/>
      </w:pPr>
      <w:r>
        <w:rPr>
          <w:rFonts w:ascii="Arial" w:hAnsi="Arial"/>
          <w:b/>
          <w:i w:val="0"/>
          <w:sz w:val="28"/>
        </w:rPr>
        <w:t>Part 1: Setting Up Your Working Directory</w:t>
      </w:r>
    </w:p>
    <w:p>
      <w:pPr>
        <w:spacing w:before="280" w:after="120"/>
      </w:pPr>
      <w:r>
        <w:rPr>
          <w:rFonts w:ascii="Arial" w:hAnsi="Arial"/>
          <w:b/>
          <w:i w:val="0"/>
          <w:sz w:val="24"/>
        </w:rPr>
        <w:t>Step 1.1: Create the project directory structure</w:t>
      </w:r>
    </w:p>
    <w:p>
      <w:pPr>
        <w:spacing w:before="0" w:after="100"/>
      </w:pPr>
      <w:r>
        <w:rPr>
          <w:rFonts w:ascii="Arial" w:hAnsi="Arial"/>
          <w:b w:val="0"/>
          <w:i w:val="0"/>
          <w:sz w:val="20"/>
        </w:rPr>
        <w:t>Open a terminal and create a working directory for this session. All Q-Chem workflow scripts expect to be run from the top-level project directory containing a pre_xyz/ folder.</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mkdir -p session_dmabn</w:t>
            </w:r>
          </w:p>
          <w:p>
            <w:pPr>
              <w:spacing w:before="0" w:after="60"/>
            </w:pPr>
            <w:r>
              <w:rPr>
                <w:rFonts w:ascii="Courier New" w:hAnsi="Courier New"/>
                <w:sz w:val="20"/>
              </w:rPr>
              <w:t xml:space="preserve">cd session_dmabn</w:t>
            </w:r>
          </w:p>
          <w:p>
            <w:pPr>
              <w:spacing w:before="0" w:after="60"/>
            </w:pPr>
            <w:r>
              <w:rPr>
                <w:rFonts w:ascii="Courier New" w:hAnsi="Courier New"/>
                <w:sz w:val="20"/>
              </w:rPr>
              <w:t xml:space="preserve">mkdir -p pre_xyz</w:t>
            </w:r>
          </w:p>
        </w:tc>
      </w:tr>
    </w:tbl>
    <w:p>
      <w:pPr>
        <w:spacing w:before="0" w:after="100"/>
      </w:pPr>
      <w:r>
        <w:rPr>
          <w:rFonts w:ascii="Arial" w:hAnsi="Arial"/>
          <w:b w:val="0"/>
          <w:i w:val="0"/>
          <w:sz w:val="20"/>
        </w:rPr>
        <w:t>Copy the Q-Chem workflow scripts (1-qchem-init-opt.sh through 6-qchem-tddft.sh, plus qc_ecd_uvvis_tools.py) into this directory, or ensure they are in your PATH. Make them executable:</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chmod +x *.sh</w:t>
            </w:r>
          </w:p>
        </w:tc>
      </w:tr>
    </w:tbl>
    <w:p>
      <w:pPr>
        <w:spacing w:before="0" w:after="100"/>
      </w:pPr>
      <w:r>
        <w:rPr>
          <w:rFonts w:ascii="Arial" w:hAnsi="Arial"/>
          <w:b w:val="0"/>
          <w:i w:val="0"/>
          <w:sz w:val="20"/>
        </w:rPr>
      </w:r>
    </w:p>
    <w:p>
      <w:pPr>
        <w:spacing w:before="280" w:after="120"/>
      </w:pPr>
      <w:r>
        <w:rPr>
          <w:rFonts w:ascii="Arial" w:hAnsi="Arial"/>
          <w:b/>
          <w:i w:val="0"/>
          <w:sz w:val="24"/>
        </w:rPr>
        <w:t>Step 1.2: Prepare the starting geometry</w:t>
      </w:r>
    </w:p>
    <w:p>
      <w:pPr>
        <w:spacing w:before="0" w:after="100"/>
      </w:pPr>
      <w:r>
        <w:rPr>
          <w:rFonts w:ascii="Arial" w:hAnsi="Arial"/>
          <w:b w:val="0"/>
          <w:i w:val="0"/>
          <w:sz w:val="20"/>
        </w:rPr>
        <w:t>Obtain the DMABN starting geometry (PubChem CID 10489). You can download coordinates directly from PubChem or build the structure in Avogadro. DMABN is planar in its ground state; any reasonable starting geometry will converge correctly. Save the file as:</w:t>
      </w:r>
    </w:p>
    <w:p>
      <w:pPr>
        <w:spacing w:before="0" w:after="100"/>
      </w:pPr>
      <w:r>
        <w:rPr>
          <w:rFonts w:ascii="Arial" w:hAnsi="Arial"/>
          <w:b w:val="0"/>
          <w:i w:val="0"/>
          <w:sz w:val="20"/>
        </w:rPr>
        <w:t xml:space="preserve">    pre_xyz/dmabn.xyz</w:t>
      </w:r>
    </w:p>
    <w:p>
      <w:pPr>
        <w:spacing w:before="0" w:after="100"/>
      </w:pPr>
      <w:r>
        <w:rPr>
          <w:rFonts w:ascii="Arial" w:hAnsi="Arial"/>
          <w:b w:val="0"/>
          <w:i w:val="0"/>
          <w:sz w:val="20"/>
        </w:rPr>
        <w:t>The XYZ format requires the atom count on line 1, a comment encoding charge and multiplicity on line 2, and Cartesian coordinates starting on line 3:</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19</w:t>
            </w:r>
          </w:p>
          <w:p>
            <w:pPr>
              <w:spacing w:before="0" w:after="60"/>
            </w:pPr>
            <w:r>
              <w:rPr>
                <w:rFonts w:ascii="Courier New" w:hAnsi="Courier New"/>
                <w:sz w:val="20"/>
              </w:rPr>
              <w:t xml:space="preserve">charge=0 mult=1</w:t>
            </w:r>
          </w:p>
          <w:p>
            <w:pPr>
              <w:spacing w:before="0" w:after="60"/>
            </w:pPr>
            <w:r>
              <w:rPr>
                <w:rFonts w:ascii="Courier New" w:hAnsi="Courier New"/>
                <w:sz w:val="20"/>
              </w:rPr>
              <w:t xml:space="preserve">N   0.000000   0.000000   0.000000</w:t>
            </w:r>
          </w:p>
          <w:p>
            <w:pPr>
              <w:spacing w:before="0" w:after="60"/>
            </w:pPr>
            <w:r>
              <w:rPr>
                <w:rFonts w:ascii="Courier New" w:hAnsi="Courier New"/>
                <w:sz w:val="20"/>
              </w:rPr>
              <w:t xml:space="preserve">C   1.380000   0.000000   0.000000</w:t>
            </w:r>
          </w:p>
          <w:p>
            <w:pPr>
              <w:spacing w:before="0" w:after="60"/>
            </w:pPr>
            <w:r>
              <w:rPr>
                <w:rFonts w:ascii="Courier New" w:hAnsi="Courier New"/>
                <w:sz w:val="20"/>
              </w:rPr>
              <w:t xml:space="preserve">... (remaining 17 atoms)</w:t>
            </w:r>
          </w:p>
        </w:tc>
      </w:tr>
    </w:tbl>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80" w:type="dxa"/>
              <w:bottom w:w="80" w:type="dxa"/>
              <w:left w:w="140" w:type="dxa"/>
              <w:right w:w="140" w:type="dxa"/>
            </w:tcMar>
            <w:tcW w:w="9360" w:type="dxa"/>
          </w:tcPr>
          <w:p>
            <w:pPr>
              <w:spacing w:before="0" w:after="60"/>
            </w:pPr>
            <w:r>
              <w:rPr>
                <w:rFonts w:ascii="Arial" w:hAnsi="Arial"/>
                <w:sz w:val="20"/>
                <w:b/>
              </w:rPr>
              <w:t xml:space="preserve">XYZ format convention</w:t>
            </w:r>
          </w:p>
          <w:p>
            <w:pPr>
              <w:spacing w:before="0" w:after="60"/>
            </w:pPr>
            <w:r>
              <w:rPr>
                <w:rFonts w:ascii="Arial" w:hAnsi="Arial"/>
                <w:sz w:val="20"/>
              </w:rPr>
              <w:t xml:space="preserve">The Q-Chem workflow scripts read charge and multiplicity from line 2 of the XYZ file.</w:t>
            </w:r>
          </w:p>
          <w:p>
            <w:pPr>
              <w:spacing w:before="0" w:after="60"/>
            </w:pPr>
            <w:r>
              <w:rPr>
                <w:rFonts w:ascii="Arial" w:hAnsi="Arial"/>
                <w:sz w:val="20"/>
              </w:rPr>
              <w:t xml:space="preserve">Two formats are accepted: key=value (charge=0 mult=1) or bare integers (0 1).</w:t>
            </w:r>
          </w:p>
          <w:p>
            <w:pPr>
              <w:spacing w:before="0" w:after="60"/>
            </w:pPr>
            <w:r>
              <w:rPr>
                <w:rFonts w:ascii="Arial" w:hAnsi="Arial"/>
                <w:sz w:val="20"/>
              </w:rPr>
              <w:t xml:space="preserve">If neither is found, the scripts default to charge=0 mult=1.</w:t>
            </w:r>
          </w:p>
          <w:p>
            <w:pPr>
              <w:spacing w:before="0" w:after="60"/>
            </w:pPr>
            <w:r>
              <w:rPr>
                <w:rFonts w:ascii="Arial" w:hAnsi="Arial"/>
                <w:sz w:val="20"/>
              </w:rPr>
              <w:t xml:space="preserve">DMABN is a neutral closed-shell molecule: charge=0, mult=1.</w:t>
            </w:r>
          </w:p>
        </w:tc>
      </w:tr>
    </w:tbl>
    <w:p>
      <w:pPr>
        <w:spacing w:before="0" w:after="100"/>
      </w:pPr>
      <w:r>
        <w:rPr>
          <w:rFonts w:ascii="Arial" w:hAnsi="Arial"/>
          <w:b w:val="0"/>
          <w:i w:val="0"/>
          <w:sz w:val="20"/>
        </w:rPr>
      </w:r>
    </w:p>
    <w:p>
      <w:pPr>
        <w:spacing w:before="280" w:after="120"/>
      </w:pPr>
      <w:r>
        <w:rPr>
          <w:rFonts w:ascii="Arial" w:hAnsi="Arial"/>
          <w:b/>
          <w:i w:val="0"/>
          <w:sz w:val="24"/>
        </w:rPr>
        <w:t>Step 1.3: Create the molecule list file</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 molecules.txt</w:t>
            </w:r>
          </w:p>
          <w:p>
            <w:pPr>
              <w:spacing w:before="0" w:after="60"/>
            </w:pPr>
            <w:r>
              <w:rPr>
                <w:rFonts w:ascii="Courier New" w:hAnsi="Courier New"/>
                <w:sz w:val="20"/>
              </w:rPr>
              <w:t xml:space="preserve">dmabn</w:t>
            </w:r>
          </w:p>
        </w:tc>
      </w:tr>
    </w:tbl>
    <w:p>
      <w:pPr>
        <w:spacing w:before="0" w:after="100"/>
      </w:pPr>
      <w:r>
        <w:rPr>
          <w:rFonts w:ascii="Arial" w:hAnsi="Arial"/>
          <w:b w:val="0"/>
          <w:i w:val="0"/>
          <w:sz w:val="20"/>
        </w:rPr>
        <w:t>Save this as molecules.txt in your working directory. Alternatively, you may pass the molecule name directly as a positional argument to each script instead of using a list file.</w:t>
      </w:r>
    </w:p>
    <w:p>
      <w:pPr>
        <w:spacing w:before="0" w:after="100"/>
      </w:pPr>
      <w:r>
        <w:rPr>
          <w:rFonts w:ascii="Arial" w:hAnsi="Arial"/>
          <w:b w:val="0"/>
          <w:i w:val="0"/>
          <w:sz w:val="20"/>
        </w:rPr>
      </w:r>
    </w:p>
    <w:p>
      <w:pPr>
        <w:spacing w:before="360" w:after="160"/>
      </w:pPr>
      <w:r>
        <w:rPr>
          <w:rFonts w:ascii="Arial" w:hAnsi="Arial"/>
          <w:b/>
          <w:i w:val="0"/>
          <w:sz w:val="28"/>
        </w:rPr>
        <w:t>Part 2: Baseline Run</w:t>
      </w:r>
    </w:p>
    <w:p>
      <w:pPr>
        <w:spacing w:before="0" w:after="100"/>
      </w:pPr>
      <w:r>
        <w:rPr>
          <w:rFonts w:ascii="Arial" w:hAnsi="Arial"/>
          <w:b w:val="0"/>
          <w:i w:val="0"/>
          <w:sz w:val="20"/>
        </w:rPr>
        <w:t>You will now run DMABN through the full six-stage workflow using CAM-B3LYP as the baseline functional for TD-DFT. This functional is a range-separated hybrid that correctly describes both the local and charge-transfer excited states of DMABN.</w:t>
      </w:r>
    </w:p>
    <w:p>
      <w:pPr>
        <w:spacing w:before="0" w:after="100"/>
      </w:pPr>
      <w:r>
        <w:rPr>
          <w:rFonts w:ascii="Arial" w:hAnsi="Arial"/>
          <w:b w:val="0"/>
          <w:i w:val="0"/>
          <w:sz w:val="20"/>
        </w:rPr>
      </w:r>
    </w:p>
    <w:p>
      <w:pPr>
        <w:spacing w:before="280" w:after="120"/>
      </w:pPr>
      <w:r>
        <w:rPr>
          <w:rFonts w:ascii="Arial" w:hAnsi="Arial"/>
          <w:b/>
          <w:i w:val="0"/>
          <w:sz w:val="24"/>
        </w:rPr>
        <w:t>Stage 1: Gas-Phase Geometry Optimization</w:t>
      </w:r>
    </w:p>
    <w:p>
      <w:pPr>
        <w:spacing w:before="0" w:after="100"/>
      </w:pPr>
      <w:r>
        <w:rPr>
          <w:rFonts w:ascii="Arial" w:hAnsi="Arial"/>
          <w:b w:val="0"/>
          <w:i w:val="0"/>
          <w:sz w:val="20"/>
        </w:rPr>
        <w:t>The first script optimizes the molecular geometry in vacuum using B3LYP/def2-SVP. For the planar ground state of DMABN this is a reliable and fast choice. The Q-Chem stage 1 script writes a $rem/$molecule input and either runs Q-Chem locally or submits a SLURM job.</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./1-qchem-init-opt.sh \</w:t>
            </w:r>
          </w:p>
          <w:p>
            <w:pPr>
              <w:spacing w:before="0" w:after="60"/>
            </w:pPr>
            <w:r>
              <w:rPr>
                <w:rFonts w:ascii="Courier New" w:hAnsi="Courier New"/>
                <w:sz w:val="20"/>
              </w:rPr>
              <w:t xml:space="preserve">  --method B3LYP \</w:t>
            </w:r>
          </w:p>
          <w:p>
            <w:pPr>
              <w:spacing w:before="0" w:after="60"/>
            </w:pPr>
            <w:r>
              <w:rPr>
                <w:rFonts w:ascii="Courier New" w:hAnsi="Courier New"/>
                <w:sz w:val="20"/>
              </w:rPr>
              <w:t xml:space="preserve">  --basis def2-SVP \</w:t>
            </w:r>
          </w:p>
          <w:p>
            <w:pPr>
              <w:spacing w:before="0" w:after="60"/>
            </w:pPr>
            <w:r>
              <w:rPr>
                <w:rFonts w:ascii="Courier New" w:hAnsi="Courier New"/>
                <w:sz w:val="20"/>
              </w:rPr>
              <w:t xml:space="preserve">  --disp auto \</w:t>
            </w:r>
          </w:p>
          <w:p>
            <w:pPr>
              <w:spacing w:before="0" w:after="60"/>
            </w:pPr>
            <w:r>
              <w:rPr>
                <w:rFonts w:ascii="Courier New" w:hAnsi="Courier New"/>
                <w:sz w:val="20"/>
              </w:rPr>
              <w:t xml:space="preserve">  --cpus 4 \</w:t>
            </w:r>
          </w:p>
          <w:p>
            <w:pPr>
              <w:spacing w:before="0" w:after="60"/>
            </w:pPr>
            <w:r>
              <w:rPr>
                <w:rFonts w:ascii="Courier New" w:hAnsi="Courier New"/>
                <w:sz w:val="20"/>
              </w:rPr>
              <w:t xml:space="preserve">  dmabn</w:t>
            </w:r>
          </w:p>
        </w:tc>
      </w:tr>
    </w:tbl>
    <w:p>
      <w:pPr>
        <w:spacing w:before="0" w:after="100"/>
      </w:pPr>
      <w:r>
        <w:rPr>
          <w:rFonts w:ascii="Arial" w:hAnsi="Arial"/>
          <w:b w:val="0"/>
          <w:i w:val="0"/>
          <w:sz w:val="20"/>
        </w:rPr>
        <w:t>The optimized geometry is written to dmabn/01_gas_opt/dmabn.out (Q-Chem output). Unlike ORCA which writes a separate .xyz file, Q-Chem embeds the geometry in the .out file; later stages extract it automatically.</w:t>
      </w:r>
    </w:p>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80" w:type="dxa"/>
              <w:bottom w:w="80" w:type="dxa"/>
              <w:left w:w="140" w:type="dxa"/>
              <w:right w:w="140" w:type="dxa"/>
            </w:tcMar>
            <w:tcW w:w="9360" w:type="dxa"/>
          </w:tcPr>
          <w:p>
            <w:pPr>
              <w:spacing w:before="0" w:after="60"/>
            </w:pPr>
            <w:r>
              <w:rPr>
                <w:rFonts w:ascii="Arial" w:hAnsi="Arial"/>
                <w:sz w:val="20"/>
                <w:b/>
              </w:rPr>
              <w:t xml:space="preserve">What to check</w:t>
            </w:r>
          </w:p>
          <w:p>
            <w:pPr>
              <w:spacing w:before="0" w:after="60"/>
            </w:pPr>
            <w:r>
              <w:rPr>
                <w:rFonts w:ascii="Arial" w:hAnsi="Arial"/>
                <w:sz w:val="20"/>
              </w:rPr>
              <w:t xml:space="preserve">Open dmabn/01_gas_opt/dmabn.out and search for 'OPTIMIZATION CONVERGED' or 'Have a nice day' to confirm convergence.</w:t>
            </w:r>
          </w:p>
          <w:p>
            <w:pPr>
              <w:spacing w:before="0" w:after="60"/>
            </w:pPr>
            <w:r>
              <w:rPr>
                <w:rFonts w:ascii="Arial" w:hAnsi="Arial"/>
                <w:sz w:val="20"/>
              </w:rPr>
              <w:t xml:space="preserve">Search for 'Final energy is' to find the converged SCF energy.</w:t>
            </w:r>
          </w:p>
          <w:p>
            <w:pPr>
              <w:spacing w:before="0" w:after="60"/>
            </w:pPr>
            <w:r>
              <w:rPr>
                <w:rFonts w:ascii="Arial" w:hAnsi="Arial"/>
                <w:sz w:val="20"/>
              </w:rPr>
              <w:t xml:space="preserve">If the optimization did not converge, try increasing --max-iter (default 150).</w:t>
            </w:r>
          </w:p>
          <w:p>
            <w:pPr>
              <w:spacing w:before="0" w:after="60"/>
            </w:pPr>
            <w:r>
              <w:rPr>
                <w:rFonts w:ascii="Arial" w:hAnsi="Arial"/>
                <w:sz w:val="20"/>
              </w:rPr>
              <w:t xml:space="preserve">Note: Q-Chem output files use the .out extension; ORCA uses .log. The parsing tools in this workflow expect .out files.</w:t>
            </w:r>
          </w:p>
        </w:tc>
      </w:tr>
    </w:tbl>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1: DMABN has a planar ground-state geometry. The dimethylamino group is conjugated with the ring in the ground state. What geometry change would you expect when the CT excited state is populated (i.e., in the TICT mechanism)? Why does this geometric change lower the energy of the CT state in polar solvents?</w:t>
            </w:r>
          </w:p>
        </w:tc>
      </w:tr>
    </w:tbl>
    <w:p>
      <w:pPr>
        <w:spacing w:before="0" w:after="100"/>
      </w:pPr>
      <w:r>
        <w:rPr>
          <w:rFonts w:ascii="Arial" w:hAnsi="Arial"/>
          <w:b w:val="0"/>
          <w:i w:val="0"/>
          <w:sz w:val="20"/>
        </w:rPr>
      </w:r>
    </w:p>
    <w:p>
      <w:pPr>
        <w:spacing w:before="280" w:after="120"/>
      </w:pPr>
      <w:r>
        <w:rPr>
          <w:rFonts w:ascii="Arial" w:hAnsi="Arial"/>
          <w:b/>
          <w:i w:val="0"/>
          <w:sz w:val="24"/>
        </w:rPr>
        <w:t>Stage 2: Conformer Generation</w:t>
      </w:r>
    </w:p>
    <w:p>
      <w:pPr>
        <w:spacing w:before="0" w:after="100"/>
      </w:pPr>
      <w:r>
        <w:rPr>
          <w:rFonts w:ascii="Arial" w:hAnsi="Arial"/>
          <w:b w:val="0"/>
          <w:i w:val="0"/>
          <w:sz w:val="20"/>
        </w:rPr>
        <w:t>DMABN is structurally rigid in its ground state: the ring is planar and the substituents have limited rotational freedom. Run the Confab conformer search as a standard step in the pipeline:</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./2-qchem-conf-search.sh \</w:t>
            </w:r>
          </w:p>
          <w:p>
            <w:pPr>
              <w:spacing w:before="0" w:after="60"/>
            </w:pPr>
            <w:r>
              <w:rPr>
                <w:rFonts w:ascii="Courier New" w:hAnsi="Courier New"/>
                <w:sz w:val="20"/>
              </w:rPr>
              <w:t xml:space="preserve">  --ecut 5 \</w:t>
            </w:r>
          </w:p>
          <w:p>
            <w:pPr>
              <w:spacing w:before="0" w:after="60"/>
            </w:pPr>
            <w:r>
              <w:rPr>
                <w:rFonts w:ascii="Courier New" w:hAnsi="Courier New"/>
                <w:sz w:val="20"/>
              </w:rPr>
              <w:t xml:space="preserve">  --conf 500 \</w:t>
            </w:r>
          </w:p>
          <w:p>
            <w:pPr>
              <w:spacing w:before="0" w:after="60"/>
            </w:pPr>
            <w:r>
              <w:rPr>
                <w:rFonts w:ascii="Courier New" w:hAnsi="Courier New"/>
                <w:sz w:val="20"/>
              </w:rPr>
              <w:t xml:space="preserve">  dmabn</w:t>
            </w:r>
          </w:p>
        </w:tc>
      </w:tr>
    </w:tbl>
    <w:p>
      <w:pPr>
        <w:spacing w:before="0" w:after="100"/>
      </w:pPr>
      <w:r>
        <w:rPr>
          <w:rFonts w:ascii="Arial" w:hAnsi="Arial"/>
          <w:b w:val="0"/>
          <w:i w:val="0"/>
          <w:sz w:val="20"/>
        </w:rPr>
        <w:t>Because DMABN has no freely rotating saturated bonds, Confab should return only one or two conformers (corresponding to the planar arrangement).</w:t>
      </w:r>
    </w:p>
    <w:p>
      <w:pPr>
        <w:spacing w:before="0" w:after="100"/>
      </w:pPr>
      <w:r>
        <w:rPr>
          <w:rFonts w:ascii="Arial" w:hAnsi="Arial"/>
          <w:b w:val="0"/>
          <w:i w:val="0"/>
          <w:sz w:val="20"/>
        </w:rPr>
      </w:r>
    </w:p>
    <w:p>
      <w:pPr>
        <w:spacing w:before="280" w:after="120"/>
      </w:pPr>
      <w:r>
        <w:rPr>
          <w:rFonts w:ascii="Arial" w:hAnsi="Arial"/>
          <w:b/>
          <w:i w:val="0"/>
          <w:sz w:val="24"/>
        </w:rPr>
        <w:t>Stage 3: Split Conformers</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./3-qchem-conf-split.sh dmabn</w:t>
            </w:r>
          </w:p>
        </w:tc>
      </w:tr>
    </w:tbl>
    <w:p>
      <w:pPr>
        <w:spacing w:before="0" w:after="100"/>
      </w:pPr>
      <w:r>
        <w:rPr>
          <w:rFonts w:ascii="Arial" w:hAnsi="Arial"/>
          <w:b w:val="0"/>
          <w:i w:val="0"/>
          <w:sz w:val="20"/>
        </w:rPr>
        <w:t>This splits the combined Confab SDF output into individual XYZ files in dmabn/02_conf_search/split_xyz/. Check the count:</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ls dmabn/02_conf_search/split_xyz/*.xyz | wc -l</w:t>
            </w:r>
          </w:p>
        </w:tc>
      </w:tr>
    </w:tbl>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2: How many conformers did Confab generate for DMABN? Compare this to the ephedrine case in ORCA Session 2. What structural features are responsible for the difference? What types of molecular motions does Confab enumerate, and why do they matter less for a planar aromatic molecule?</w:t>
            </w:r>
          </w:p>
        </w:tc>
      </w:tr>
    </w:tbl>
    <w:p>
      <w:pPr>
        <w:spacing w:before="0" w:after="100"/>
      </w:pPr>
      <w:r>
        <w:rPr>
          <w:rFonts w:ascii="Arial" w:hAnsi="Arial"/>
          <w:b w:val="0"/>
          <w:i w:val="0"/>
          <w:sz w:val="20"/>
        </w:rPr>
      </w:r>
    </w:p>
    <w:p>
      <w:pPr>
        <w:spacing w:before="280" w:after="120"/>
      </w:pPr>
      <w:r>
        <w:rPr>
          <w:rFonts w:ascii="Arial" w:hAnsi="Arial"/>
          <w:b/>
          <w:i w:val="0"/>
          <w:sz w:val="24"/>
        </w:rPr>
        <w:t>Stage 4: Solvent-Phase Re-optimization</w:t>
      </w:r>
    </w:p>
    <w:p>
      <w:pPr>
        <w:spacing w:before="0" w:after="100"/>
      </w:pPr>
      <w:r>
        <w:rPr>
          <w:rFonts w:ascii="Arial" w:hAnsi="Arial"/>
          <w:b w:val="0"/>
          <w:i w:val="0"/>
          <w:sz w:val="20"/>
        </w:rPr>
        <w:t>Re-optimize each conformer with the SMD implicit solvent model in water. For DMABN, solvent effects are especially important: the CT state is significantly stabilized by polar solvents, and even the ground-state geometry can shift slightly.</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./4-qchem-solvent-opt.sh \</w:t>
            </w:r>
          </w:p>
          <w:p>
            <w:pPr>
              <w:spacing w:before="0" w:after="60"/>
            </w:pPr>
            <w:r>
              <w:rPr>
                <w:rFonts w:ascii="Courier New" w:hAnsi="Courier New"/>
                <w:sz w:val="20"/>
              </w:rPr>
              <w:t xml:space="preserve">  --method B3LYP \</w:t>
            </w:r>
          </w:p>
          <w:p>
            <w:pPr>
              <w:spacing w:before="0" w:after="60"/>
            </w:pPr>
            <w:r>
              <w:rPr>
                <w:rFonts w:ascii="Courier New" w:hAnsi="Courier New"/>
                <w:sz w:val="20"/>
              </w:rPr>
              <w:t xml:space="preserve">  --basis 6-31+G(d) \</w:t>
            </w:r>
          </w:p>
          <w:p>
            <w:pPr>
              <w:spacing w:before="0" w:after="60"/>
            </w:pPr>
            <w:r>
              <w:rPr>
                <w:rFonts w:ascii="Courier New" w:hAnsi="Courier New"/>
                <w:sz w:val="20"/>
              </w:rPr>
              <w:t xml:space="preserve">  --solvent water \</w:t>
            </w:r>
          </w:p>
          <w:p>
            <w:pPr>
              <w:spacing w:before="0" w:after="60"/>
            </w:pPr>
            <w:r>
              <w:rPr>
                <w:rFonts w:ascii="Courier New" w:hAnsi="Courier New"/>
                <w:sz w:val="20"/>
              </w:rPr>
              <w:t xml:space="preserve">  --cpus 4 \</w:t>
            </w:r>
          </w:p>
          <w:p>
            <w:pPr>
              <w:spacing w:before="0" w:after="60"/>
            </w:pPr>
            <w:r>
              <w:rPr>
                <w:rFonts w:ascii="Courier New" w:hAnsi="Courier New"/>
                <w:sz w:val="20"/>
              </w:rPr>
              <w:t xml:space="preserve">  dmabn</w:t>
            </w:r>
          </w:p>
        </w:tc>
      </w:tr>
    </w:tbl>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80" w:type="dxa"/>
              <w:bottom w:w="80" w:type="dxa"/>
              <w:left w:w="140" w:type="dxa"/>
              <w:right w:w="140" w:type="dxa"/>
            </w:tcMar>
            <w:tcW w:w="9360" w:type="dxa"/>
          </w:tcPr>
          <w:p>
            <w:pPr>
              <w:spacing w:before="0" w:after="60"/>
            </w:pPr>
            <w:r>
              <w:rPr>
                <w:rFonts w:ascii="Arial" w:hAnsi="Arial"/>
                <w:sz w:val="20"/>
                <w:b/>
              </w:rPr>
              <w:t xml:space="preserve">Q-Chem SMD vs. ORCA SMD</w:t>
            </w:r>
          </w:p>
          <w:p>
            <w:pPr>
              <w:spacing w:before="0" w:after="60"/>
            </w:pPr>
            <w:r>
              <w:rPr>
                <w:rFonts w:ascii="Arial" w:hAnsi="Arial"/>
                <w:sz w:val="20"/>
              </w:rPr>
              <w:t xml:space="preserve">Both Q-Chem and ORCA implement the SMD (Solvation Model based on Density) implicit solvent model developed by Marenich, Cramer, and Truhlar. The underlying physical model is identical, but the two programs use slightly different algorithms to construct the solute cavity and compute the non-electrostatic terms.</w:t>
            </w:r>
          </w:p>
          <w:p>
            <w:pPr>
              <w:spacing w:before="0" w:after="60"/>
            </w:pPr>
            <w:r>
              <w:rPr>
                <w:rFonts w:ascii="Arial" w:hAnsi="Arial"/>
                <w:sz w:val="20"/>
              </w:rPr>
              <w:t xml:space="preserve">In practice, solvation energies from the two programs typically agree to within 0.1–0.3 kcal/mol for common solvents. For excitation energies this translates to differences of 1–2 nm, which is well within the inherent accuracy of the method.</w:t>
            </w:r>
          </w:p>
        </w:tc>
      </w:tr>
    </w:tbl>
    <w:p>
      <w:pPr>
        <w:spacing w:before="0" w:after="100"/>
      </w:pPr>
      <w:r>
        <w:rPr>
          <w:rFonts w:ascii="Arial" w:hAnsi="Arial"/>
          <w:b w:val="0"/>
          <w:i w:val="0"/>
          <w:sz w:val="20"/>
        </w:rPr>
      </w:r>
    </w:p>
    <w:p>
      <w:pPr>
        <w:spacing w:before="280" w:after="120"/>
      </w:pPr>
      <w:r>
        <w:rPr>
          <w:rFonts w:ascii="Arial" w:hAnsi="Arial"/>
          <w:b/>
          <w:i w:val="0"/>
          <w:sz w:val="24"/>
        </w:rPr>
        <w:t>Stage 5: Boltzmann Weighting</w:t>
      </w:r>
    </w:p>
    <w:p>
      <w:pPr>
        <w:spacing w:before="0" w:after="100"/>
      </w:pPr>
      <w:r>
        <w:rPr>
          <w:rFonts w:ascii="Arial" w:hAnsi="Arial"/>
          <w:b w:val="0"/>
          <w:i w:val="0"/>
          <w:sz w:val="20"/>
        </w:rPr>
        <w:t>Compute Boltzmann populations from the solvent-phase energies. For DMABN with one conformer this is trivial, but it is required for the pipeline to proceed to Stage 6.</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./5-qchem-boltzmann-weight.sh \</w:t>
            </w:r>
          </w:p>
          <w:p>
            <w:pPr>
              <w:spacing w:before="0" w:after="60"/>
            </w:pPr>
            <w:r>
              <w:rPr>
                <w:rFonts w:ascii="Courier New" w:hAnsi="Courier New"/>
                <w:sz w:val="20"/>
              </w:rPr>
              <w:t xml:space="preserve">  --temp 298.15 \</w:t>
            </w:r>
          </w:p>
          <w:p>
            <w:pPr>
              <w:spacing w:before="0" w:after="60"/>
            </w:pPr>
            <w:r>
              <w:rPr>
                <w:rFonts w:ascii="Courier New" w:hAnsi="Courier New"/>
                <w:sz w:val="20"/>
              </w:rPr>
              <w:t xml:space="preserve">  --p-cut 0.01 \</w:t>
            </w:r>
          </w:p>
          <w:p>
            <w:pPr>
              <w:spacing w:before="0" w:after="60"/>
            </w:pPr>
            <w:r>
              <w:rPr>
                <w:rFonts w:ascii="Courier New" w:hAnsi="Courier New"/>
                <w:sz w:val="20"/>
              </w:rPr>
              <w:t xml:space="preserve">  dmabn</w:t>
            </w:r>
          </w:p>
        </w:tc>
      </w:tr>
    </w:tbl>
    <w:p>
      <w:pPr>
        <w:spacing w:before="0" w:after="100"/>
      </w:pPr>
      <w:r>
        <w:rPr>
          <w:rFonts w:ascii="Arial" w:hAnsi="Arial"/>
          <w:b w:val="0"/>
          <w:i w:val="0"/>
          <w:sz w:val="20"/>
        </w:rPr>
        <w:t>Examine the output:</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cat dmabn/04_boltzmann/dmabn_bw_labels.dat</w:t>
            </w:r>
          </w:p>
        </w:tc>
      </w:tr>
    </w:tbl>
    <w:p>
      <w:pPr>
        <w:spacing w:before="0" w:after="100"/>
      </w:pPr>
      <w:r>
        <w:rPr>
          <w:rFonts w:ascii="Arial" w:hAnsi="Arial"/>
          <w:b w:val="0"/>
          <w:i w:val="0"/>
          <w:sz w:val="20"/>
        </w:rPr>
        <w:t>You should see a single conformer with a Boltzmann probability of essentially 1.000.</w:t>
      </w:r>
    </w:p>
    <w:p>
      <w:pPr>
        <w:spacing w:before="0" w:after="100"/>
      </w:pPr>
      <w:r>
        <w:rPr>
          <w:rFonts w:ascii="Arial" w:hAnsi="Arial"/>
          <w:b w:val="0"/>
          <w:i w:val="0"/>
          <w:sz w:val="20"/>
        </w:rPr>
      </w:r>
    </w:p>
    <w:p>
      <w:pPr>
        <w:spacing w:before="280" w:after="120"/>
      </w:pPr>
      <w:r>
        <w:rPr>
          <w:rFonts w:ascii="Arial" w:hAnsi="Arial"/>
          <w:b/>
          <w:i w:val="0"/>
          <w:sz w:val="24"/>
        </w:rPr>
        <w:t>Stage 6: TD-DFT Excited-State Calculation</w:t>
      </w:r>
    </w:p>
    <w:p>
      <w:pPr>
        <w:spacing w:before="0" w:after="100"/>
      </w:pPr>
      <w:r>
        <w:rPr>
          <w:rFonts w:ascii="Arial" w:hAnsi="Arial"/>
          <w:b w:val="0"/>
          <w:i w:val="0"/>
          <w:sz w:val="20"/>
        </w:rPr>
        <w:t>This is the central step. Q-Chem computes vertical excitation energies, oscillator strengths (for UV-Vis), and rotatory strengths (for ECD) simultaneously. For DMABN, we request 30 roots to ensure we capture both the local and CT excited states and any higher transitions in the near-UV region.</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./6-qchem-tddft.sh \</w:t>
            </w:r>
          </w:p>
          <w:p>
            <w:pPr>
              <w:spacing w:before="0" w:after="60"/>
            </w:pPr>
            <w:r>
              <w:rPr>
                <w:rFonts w:ascii="Courier New" w:hAnsi="Courier New"/>
                <w:sz w:val="20"/>
              </w:rPr>
              <w:t xml:space="preserve">  --method CAM-B3LYP \</w:t>
            </w:r>
          </w:p>
          <w:p>
            <w:pPr>
              <w:spacing w:before="0" w:after="60"/>
            </w:pPr>
            <w:r>
              <w:rPr>
                <w:rFonts w:ascii="Courier New" w:hAnsi="Courier New"/>
                <w:sz w:val="20"/>
              </w:rPr>
              <w:t xml:space="preserve">  --basis def2-SVP \</w:t>
            </w:r>
          </w:p>
          <w:p>
            <w:pPr>
              <w:spacing w:before="0" w:after="60"/>
            </w:pPr>
            <w:r>
              <w:rPr>
                <w:rFonts w:ascii="Courier New" w:hAnsi="Courier New"/>
                <w:sz w:val="20"/>
              </w:rPr>
              <w:t xml:space="preserve">  --roots 30 \</w:t>
            </w:r>
          </w:p>
          <w:p>
            <w:pPr>
              <w:spacing w:before="0" w:after="60"/>
            </w:pPr>
            <w:r>
              <w:rPr>
                <w:rFonts w:ascii="Courier New" w:hAnsi="Courier New"/>
                <w:sz w:val="20"/>
              </w:rPr>
              <w:t xml:space="preserve">  --solvent water \</w:t>
            </w:r>
          </w:p>
          <w:p>
            <w:pPr>
              <w:spacing w:before="0" w:after="60"/>
            </w:pPr>
            <w:r>
              <w:rPr>
                <w:rFonts w:ascii="Courier New" w:hAnsi="Courier New"/>
                <w:sz w:val="20"/>
              </w:rPr>
              <w:t xml:space="preserve">  --cpus 4 \</w:t>
            </w:r>
          </w:p>
          <w:p>
            <w:pPr>
              <w:spacing w:before="0" w:after="60"/>
            </w:pPr>
            <w:r>
              <w:rPr>
                <w:rFonts w:ascii="Courier New" w:hAnsi="Courier New"/>
                <w:sz w:val="20"/>
              </w:rPr>
              <w:t xml:space="preserve">  dmabn</w:t>
            </w:r>
          </w:p>
        </w:tc>
      </w:tr>
    </w:tbl>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80" w:type="dxa"/>
              <w:bottom w:w="80" w:type="dxa"/>
              <w:left w:w="140" w:type="dxa"/>
              <w:right w:w="140" w:type="dxa"/>
            </w:tcMar>
            <w:tcW w:w="9360" w:type="dxa"/>
          </w:tcPr>
          <w:p>
            <w:pPr>
              <w:spacing w:before="0" w:after="60"/>
            </w:pPr>
            <w:r>
              <w:rPr>
                <w:rFonts w:ascii="Arial" w:hAnsi="Arial"/>
                <w:sz w:val="20"/>
                <w:b/>
              </w:rPr>
              <w:t xml:space="preserve">Why CAM-B3LYP for DMABN?</w:t>
            </w:r>
          </w:p>
          <w:p>
            <w:pPr>
              <w:spacing w:before="0" w:after="60"/>
            </w:pPr>
            <w:r>
              <w:rPr>
                <w:rFonts w:ascii="Arial" w:hAnsi="Arial"/>
                <w:sz w:val="20"/>
              </w:rPr>
              <w:t xml:space="preserve">CAM-B3LYP is a range-separated hybrid functional that uses 19% HF exchange at short range, increasing to 65% at long range. This long-range correction is essential for charge-transfer excitations, where the electron donor and acceptor are spatially separated.</w:t>
            </w:r>
          </w:p>
          <w:p>
            <w:pPr>
              <w:spacing w:before="0" w:after="60"/>
            </w:pPr>
            <w:r>
              <w:rPr>
                <w:rFonts w:ascii="Arial" w:hAnsi="Arial"/>
                <w:sz w:val="20"/>
              </w:rPr>
              <w:t xml:space="preserve">For DMABN specifically, range-separated hybrids correctly predict both the LE and CT states as distinct features in the absorption spectrum. Standard hybrids like B3LYP (20% HF exchange throughout) systematically underestimate the CT excitation energy and can produce an incorrect LE/CT ordering or merge the two states into one broad feature.</w:t>
            </w:r>
          </w:p>
          <w:p>
            <w:pPr>
              <w:spacing w:before="0" w:after="60"/>
            </w:pPr>
            <w:r>
              <w:rPr>
                <w:rFonts w:ascii="Arial" w:hAnsi="Arial"/>
                <w:sz w:val="20"/>
              </w:rPr>
              <w:t xml:space="preserve">The Q-Chem input generated by this script includes RPA TRUE (full TD-DFT, not the Tamm-Dancoff Approximation), CIS_SINGLETS TRUE, and CIS_TRIPLETS FALSE, consistent with the approach used in ORCA Session 1.</w:t>
            </w:r>
          </w:p>
        </w:tc>
      </w:tr>
    </w:tbl>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3: The Q-Chem TD-DFT input includes the keyword RPA TRUE. This activates full linear-response TD-DFT rather than the Tamm-Dancoff Approximation (TDA). Recall from ORCA Session 1: what is the difference between TDA and full TD-DFT? For a CT-active molecule like DMABN, does this choice matter more or less than for a rigid aromatic like PNA?</w:t>
            </w:r>
          </w:p>
        </w:tc>
      </w:tr>
    </w:tbl>
    <w:p>
      <w:pPr>
        <w:spacing w:before="0" w:after="100"/>
      </w:pPr>
      <w:r>
        <w:rPr>
          <w:rFonts w:ascii="Arial" w:hAnsi="Arial"/>
          <w:b w:val="0"/>
          <w:i w:val="0"/>
          <w:sz w:val="20"/>
        </w:rPr>
      </w:r>
    </w:p>
    <w:p>
      <w:pPr>
        <w:spacing w:before="280" w:after="120"/>
      </w:pPr>
      <w:r>
        <w:rPr>
          <w:rFonts w:ascii="Arial" w:hAnsi="Arial"/>
          <w:b/>
          <w:i w:val="0"/>
          <w:sz w:val="24"/>
        </w:rPr>
        <w:t>Plotting: Generate the UV-Vis Spectrum</w:t>
      </w:r>
    </w:p>
    <w:p>
      <w:pPr>
        <w:spacing w:before="0" w:after="100"/>
      </w:pPr>
      <w:r>
        <w:rPr>
          <w:rFonts w:ascii="Arial" w:hAnsi="Arial"/>
          <w:b w:val="0"/>
          <w:i w:val="0"/>
          <w:sz w:val="20"/>
        </w:rPr>
        <w:t>The Python plotting tool parses Q-Chem TD-DFT output files, applies Boltzmann weighting, performs Gaussian broadening, and produces publication-quality plots and CSV data tables.</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python3 qc_ecd_uvvis_tools.py dmabn/05_tddft \</w:t>
            </w:r>
          </w:p>
          <w:p>
            <w:pPr>
              <w:spacing w:before="0" w:after="60"/>
            </w:pPr>
            <w:r>
              <w:rPr>
                <w:rFonts w:ascii="Courier New" w:hAnsi="Courier New"/>
                <w:sz w:val="20"/>
              </w:rPr>
              <w:t xml:space="preserve">  --bw dmabn/04_boltzmann/dmabn_energies.dat \</w:t>
            </w:r>
          </w:p>
          <w:p>
            <w:pPr>
              <w:spacing w:before="0" w:after="60"/>
            </w:pPr>
            <w:r>
              <w:rPr>
                <w:rFonts w:ascii="Courier New" w:hAnsi="Courier New"/>
                <w:sz w:val="20"/>
              </w:rPr>
              <w:t xml:space="preserve">  --outdir dmabn \</w:t>
            </w:r>
          </w:p>
          <w:p>
            <w:pPr>
              <w:spacing w:before="0" w:after="60"/>
            </w:pPr>
            <w:r>
              <w:rPr>
                <w:rFonts w:ascii="Courier New" w:hAnsi="Courier New"/>
                <w:sz w:val="20"/>
              </w:rPr>
              <w:t xml:space="preserve">  --stick \</w:t>
            </w:r>
          </w:p>
          <w:p>
            <w:pPr>
              <w:spacing w:before="0" w:after="60"/>
            </w:pPr>
            <w:r>
              <w:rPr>
                <w:rFonts w:ascii="Courier New" w:hAnsi="Courier New"/>
                <w:sz w:val="20"/>
              </w:rPr>
              <w:t xml:space="preserve">  --xlim 220 450</w:t>
            </w:r>
          </w:p>
        </w:tc>
      </w:tr>
    </w:tbl>
    <w:p>
      <w:pPr>
        <w:spacing w:before="0" w:after="100"/>
      </w:pPr>
      <w:r>
        <w:rPr>
          <w:rFonts w:ascii="Arial" w:hAnsi="Arial"/>
          <w:b w:val="0"/>
          <w:i w:val="0"/>
          <w:sz w:val="20"/>
        </w:rPr>
        <w:t>This generates PNG and PDF plots in dmabn/06_spectra/ along with CSV data tables. The --stick flag overlays the raw unbroadened transitions, which is essential for identifying individual excited states.</w:t>
      </w:r>
    </w:p>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80" w:type="dxa"/>
              <w:bottom w:w="80" w:type="dxa"/>
              <w:left w:w="140" w:type="dxa"/>
              <w:right w:w="140" w:type="dxa"/>
            </w:tcMar>
            <w:tcW w:w="9360" w:type="dxa"/>
          </w:tcPr>
          <w:p>
            <w:pPr>
              <w:spacing w:before="0" w:after="60"/>
            </w:pPr>
            <w:r>
              <w:rPr>
                <w:rFonts w:ascii="Arial" w:hAnsi="Arial"/>
                <w:sz w:val="20"/>
                <w:b/>
              </w:rPr>
              <w:t xml:space="preserve">Identifying the two bands in DMABN</w:t>
            </w:r>
          </w:p>
          <w:p>
            <w:pPr>
              <w:spacing w:before="0" w:after="60"/>
            </w:pPr>
            <w:r>
              <w:rPr>
                <w:rFonts w:ascii="Arial" w:hAnsi="Arial"/>
                <w:sz w:val="20"/>
              </w:rPr>
              <w:t xml:space="preserve">Open the UV-Vis plot (dmabn_uvvis.png) and look for two distinct features:</w:t>
            </w:r>
          </w:p>
          <w:p>
            <w:pPr>
              <w:spacing w:before="0" w:after="60"/>
            </w:pPr>
            <w:r>
              <w:rPr>
                <w:rFonts w:ascii="Arial" w:hAnsi="Arial"/>
                <w:sz w:val="20"/>
              </w:rPr>
              <w:t xml:space="preserve">1. A strong band near 280–300 nm: the local π→π* (LE) transition.</w:t>
            </w:r>
          </w:p>
          <w:p>
            <w:pPr>
              <w:spacing w:before="0" w:after="60"/>
            </w:pPr>
            <w:r>
              <w:rPr>
                <w:rFonts w:ascii="Arial" w:hAnsi="Arial"/>
                <w:sz w:val="20"/>
              </w:rPr>
              <w:t xml:space="preserve">2. A weaker band or shoulder near 320–360 nm: the charge-transfer (CT) transition.</w:t>
            </w:r>
          </w:p>
          <w:p>
            <w:pPr>
              <w:spacing w:before="0" w:after="60"/>
            </w:pPr>
            <w:r>
              <w:rPr>
                <w:rFonts w:ascii="Arial" w:hAnsi="Arial"/>
                <w:sz w:val="20"/>
              </w:rPr>
              <w:t xml:space="preserve">If you see only one broad envelope without a distinct shoulder, try decreasing the FWHM: add --uv_fwhm 0.2 to the plotting command to narrow the broadening and resolve individual peaks.</w:t>
            </w:r>
          </w:p>
          <w:p>
            <w:pPr>
              <w:spacing w:before="0" w:after="60"/>
            </w:pPr>
            <w:r>
              <w:rPr>
                <w:rFonts w:ascii="Arial" w:hAnsi="Arial"/>
                <w:sz w:val="20"/>
              </w:rPr>
              <w:t xml:space="preserve">The experimental absorption maximum for DMABN in water is approximately 285 nm (LE) and a shoulder near 330 nm (CT). How close are your computed values?</w:t>
            </w:r>
          </w:p>
        </w:tc>
      </w:tr>
    </w:tbl>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4: Examine your computed UV-Vis spectrum. Can you identify the LE and CT absorption bands? Look at the stick spectrum to see the oscillator strengths of individual states. Which state has the larger oscillator strength? What does a small oscillator strength tell you about the charge-transfer character of a transition?</w:t>
            </w:r>
          </w:p>
        </w:tc>
      </w:tr>
    </w:tbl>
    <w:p>
      <w:pPr>
        <w:spacing w:before="0" w:after="100"/>
      </w:pPr>
      <w:r>
        <w:rPr>
          <w:rFonts w:ascii="Arial" w:hAnsi="Arial"/>
          <w:b w:val="0"/>
          <w:i w:val="0"/>
          <w:sz w:val="20"/>
        </w:rPr>
      </w:r>
    </w:p>
    <w:p>
      <w:pPr>
        <w:spacing w:before="360" w:after="160"/>
      </w:pPr>
      <w:r>
        <w:rPr>
          <w:rFonts w:ascii="Arial" w:hAnsi="Arial"/>
          <w:b/>
          <w:i w:val="0"/>
          <w:sz w:val="28"/>
        </w:rPr>
        <w:t>Part 3: Benchmarking Exercises</w:t>
      </w:r>
    </w:p>
    <w:p>
      <w:pPr>
        <w:spacing w:before="0" w:after="100"/>
      </w:pPr>
      <w:r>
        <w:rPr>
          <w:rFonts w:ascii="Arial" w:hAnsi="Arial"/>
          <w:b w:val="0"/>
          <w:i w:val="0"/>
          <w:sz w:val="20"/>
        </w:rPr>
        <w:t>With your baseline CAM-B3LYP result in hand, you will now systematically compare functionals, test the solvent dependence of the CT state, and directly compare your Q-Chem results to ORCA. To avoid overwriting results, rename the 05_tddft directory after each run:</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 After each run, rename output before re-running Stage 6:</w:t>
            </w:r>
          </w:p>
          <w:p>
            <w:pPr>
              <w:spacing w:before="0" w:after="60"/>
            </w:pPr>
            <w:r>
              <w:rPr>
                <w:rFonts w:ascii="Courier New" w:hAnsi="Courier New"/>
                <w:sz w:val="20"/>
              </w:rPr>
              <w:t xml:space="preserve">mv dmabn/05_tddft dmabn/05_tddft_camb3lyp</w:t>
            </w:r>
          </w:p>
          <w:p>
            <w:pPr>
              <w:spacing w:before="0" w:after="60"/>
            </w:pPr>
            <w:r>
              <w:rPr>
                <w:rFonts w:ascii="Courier New" w:hAnsi="Courier New"/>
                <w:sz w:val="20"/>
              </w:rPr>
              <w:t xml:space="preserve"># Then re-run Stage 6 with the next functional</w:t>
            </w:r>
          </w:p>
        </w:tc>
      </w:tr>
    </w:tbl>
    <w:p>
      <w:pPr>
        <w:spacing w:before="0" w:after="100"/>
      </w:pPr>
      <w:r>
        <w:rPr>
          <w:rFonts w:ascii="Arial" w:hAnsi="Arial"/>
          <w:b w:val="0"/>
          <w:i w:val="0"/>
          <w:sz w:val="20"/>
        </w:rPr>
      </w:r>
    </w:p>
    <w:p>
      <w:pPr>
        <w:spacing w:before="280" w:after="120"/>
      </w:pPr>
      <w:r>
        <w:rPr>
          <w:rFonts w:ascii="Arial" w:hAnsi="Arial"/>
          <w:b/>
          <w:i w:val="0"/>
          <w:sz w:val="24"/>
        </w:rPr>
        <w:t>Exercise 3.1: Functional Comparison</w:t>
      </w:r>
    </w:p>
    <w:p>
      <w:pPr>
        <w:spacing w:before="0" w:after="100"/>
      </w:pPr>
      <w:r>
        <w:rPr>
          <w:rFonts w:ascii="Arial" w:hAnsi="Arial"/>
          <w:b w:val="0"/>
          <w:i w:val="0"/>
          <w:sz w:val="20"/>
        </w:rPr>
        <w:t>Re-run Stage 6 with each functional below, keeping basis set (def2-SVP), solvent (water), and roots (30) fixed. After each run, re-plot the spectrum and record the wavelengths of the dominant LE and CT bands.</w:t>
      </w:r>
    </w:p>
    <w:p>
      <w:pPr>
        <w:spacing w:before="160" w:after="80"/>
      </w:pPr>
      <w:r>
        <w:rPr>
          <w:rFonts w:ascii="Arial" w:hAnsi="Arial"/>
          <w:b/>
          <w:i w:val="0"/>
          <w:sz w:val="20"/>
        </w:rPr>
        <w:t>a) B3LYP (20% HF exchange, standard hybrid)</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./6-qchem-tddft.sh --method B3LYP --basis def2-SVP \</w:t>
            </w:r>
          </w:p>
          <w:p>
            <w:pPr>
              <w:spacing w:before="0" w:after="60"/>
            </w:pPr>
            <w:r>
              <w:rPr>
                <w:rFonts w:ascii="Courier New" w:hAnsi="Courier New"/>
                <w:sz w:val="20"/>
              </w:rPr>
              <w:t xml:space="preserve">  --roots 30 --solvent water --cpus 4 dmabn</w:t>
            </w:r>
          </w:p>
        </w:tc>
      </w:tr>
    </w:tbl>
    <w:p>
      <w:pPr>
        <w:spacing w:before="160" w:after="80"/>
      </w:pPr>
      <w:r>
        <w:rPr>
          <w:rFonts w:ascii="Arial" w:hAnsi="Arial"/>
          <w:b/>
          <w:i w:val="0"/>
          <w:sz w:val="20"/>
        </w:rPr>
        <w:t>b) PBE0 (25% HF exchange, hybrid GGA)</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./6-qchem-tddft.sh --method PBE0 --basis def2-SVP \</w:t>
            </w:r>
          </w:p>
          <w:p>
            <w:pPr>
              <w:spacing w:before="0" w:after="60"/>
            </w:pPr>
            <w:r>
              <w:rPr>
                <w:rFonts w:ascii="Courier New" w:hAnsi="Courier New"/>
                <w:sz w:val="20"/>
              </w:rPr>
              <w:t xml:space="preserve">  --roots 30 --solvent water --cpus 4 dmabn</w:t>
            </w:r>
          </w:p>
        </w:tc>
      </w:tr>
    </w:tbl>
    <w:p>
      <w:pPr>
        <w:spacing w:before="160" w:after="80"/>
      </w:pPr>
      <w:r>
        <w:rPr>
          <w:rFonts w:ascii="Arial" w:hAnsi="Arial"/>
          <w:b/>
          <w:i w:val="0"/>
          <w:sz w:val="20"/>
        </w:rPr>
        <w:t>c) CAM-B3LYP (range-separated, 19–65% HF exchange), your baseline</w:t>
      </w:r>
    </w:p>
    <w:p>
      <w:pPr>
        <w:spacing w:before="160" w:after="80"/>
      </w:pPr>
      <w:r>
        <w:rPr>
          <w:rFonts w:ascii="Arial" w:hAnsi="Arial"/>
          <w:b/>
          <w:i w:val="0"/>
          <w:sz w:val="20"/>
        </w:rPr>
        <w:t>d) ωB97X-D3 (range-separated with dispersion)</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./6-qchem-tddft.sh --method wB97X-D3 --basis def2-SVP \</w:t>
            </w:r>
          </w:p>
          <w:p>
            <w:pPr>
              <w:spacing w:before="0" w:after="60"/>
            </w:pPr>
            <w:r>
              <w:rPr>
                <w:rFonts w:ascii="Courier New" w:hAnsi="Courier New"/>
                <w:sz w:val="20"/>
              </w:rPr>
              <w:t xml:space="preserve">  --roots 30 --solvent water --cpus 4 dmabn</w:t>
            </w:r>
          </w:p>
        </w:tc>
      </w:tr>
    </w:tbl>
    <w:p>
      <w:pPr>
        <w:spacing w:before="0" w:after="100"/>
      </w:pPr>
      <w:r>
        <w:rPr>
          <w:rFonts w:ascii="Arial" w:hAnsi="Arial"/>
          <w:b w:val="0"/>
          <w:i w:val="0"/>
          <w:sz w:val="20"/>
        </w:rPr>
      </w:r>
    </w:p>
    <w:p>
      <w:pPr>
        <w:spacing w:before="0" w:after="100"/>
      </w:pPr>
      <w:r>
        <w:rPr>
          <w:rFonts w:ascii="Arial" w:hAnsi="Arial"/>
          <w:b w:val="0"/>
          <w:i w:val="0"/>
          <w:sz w:val="20"/>
        </w:rPr>
        <w:t>Record your results:</w:t>
      </w:r>
    </w:p>
    <w:tbl>
      <w:tblPr>
        <w:tblLook w:firstColumn="1" w:firstRow="1" w:lastColumn="0" w:lastRow="0" w:noHBand="0" w:noVBand="1" w:val="04A0"/>
        <w:tblW w:w="9360" w:type="dxa"/>
      </w:tblPr>
      <w:tblGrid>
        <w:gridCol w:w="2200"/>
        <w:gridCol w:w="1700"/>
        <w:gridCol w:w="1700"/>
        <w:gridCol w:w="1700"/>
        <w:gridCol w:w="2060"/>
      </w:tblGrid>
      <w:tr>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2200" w:type="dxa"/>
          </w:tcPr>
          <w:p>
            <w:pPr>
              <w:spacing w:before="0" w:after="100"/>
            </w:pPr>
            <w:r>
              <w:rPr>
                <w:rFonts w:ascii="Arial" w:hAnsi="Arial"/>
                <w:sz w:val="20"/>
                <w:b/>
              </w:rPr>
              <w:t xml:space="preserve">Functional</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700" w:type="dxa"/>
          </w:tcPr>
          <w:p>
            <w:pPr>
              <w:spacing w:before="0" w:after="100"/>
            </w:pPr>
            <w:r>
              <w:rPr>
                <w:rFonts w:ascii="Arial" w:hAnsi="Arial"/>
                <w:sz w:val="20"/>
                <w:b/>
              </w:rPr>
              <w:t xml:space="preserve">LE λₘₐₓ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700" w:type="dxa"/>
          </w:tcPr>
          <w:p>
            <w:pPr>
              <w:spacing w:before="0" w:after="100"/>
            </w:pPr>
            <w:r>
              <w:rPr>
                <w:rFonts w:ascii="Arial" w:hAnsi="Arial"/>
                <w:sz w:val="20"/>
                <w:b/>
              </w:rPr>
              <w:t xml:space="preserve">CT λₘₐₓ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700" w:type="dxa"/>
          </w:tcPr>
          <w:p>
            <w:pPr>
              <w:spacing w:before="0" w:after="100"/>
            </w:pPr>
            <w:r>
              <w:rPr>
                <w:rFonts w:ascii="Arial" w:hAnsi="Arial"/>
                <w:sz w:val="20"/>
                <w:b/>
              </w:rPr>
              <w:t xml:space="preserve">LE–CT gap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2060" w:type="dxa"/>
          </w:tcPr>
          <w:p>
            <w:pPr>
              <w:spacing w:before="0" w:after="100"/>
            </w:pPr>
            <w:r>
              <w:rPr>
                <w:rFonts w:ascii="Arial" w:hAnsi="Arial"/>
                <w:sz w:val="20"/>
                <w:b/>
              </w:rPr>
              <w:t xml:space="preserve">States visible?</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200" w:type="dxa"/>
          </w:tcPr>
          <w:p>
            <w:pPr>
              <w:spacing w:before="0" w:after="100"/>
            </w:pPr>
            <w:r>
              <w:rPr>
                <w:rFonts w:ascii="Arial" w:hAnsi="Arial"/>
                <w:sz w:val="20"/>
              </w:rPr>
              <w:t xml:space="preserve">B3LYP</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60" w:type="dxa"/>
          </w:tcPr>
          <w:p>
            <w:pPr>
              <w:spacing w:before="0" w:after="100"/>
            </w:pPr>
            <w:r>
              <w:rPr>
                <w:rFonts w:ascii="Arial" w:hAnsi="Arial"/>
                <w:sz w:val="20"/>
              </w:rPr>
              <w:t xml:space="preserve"/>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200" w:type="dxa"/>
          </w:tcPr>
          <w:p>
            <w:pPr>
              <w:spacing w:before="0" w:after="100"/>
            </w:pPr>
            <w:r>
              <w:rPr>
                <w:rFonts w:ascii="Arial" w:hAnsi="Arial"/>
                <w:sz w:val="20"/>
              </w:rPr>
              <w:t xml:space="preserve">PBE0</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60" w:type="dxa"/>
          </w:tcPr>
          <w:p>
            <w:pPr>
              <w:spacing w:before="0" w:after="100"/>
            </w:pPr>
            <w:r>
              <w:rPr>
                <w:rFonts w:ascii="Arial" w:hAnsi="Arial"/>
                <w:sz w:val="20"/>
              </w:rPr>
              <w:t xml:space="preserve"/>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200" w:type="dxa"/>
          </w:tcPr>
          <w:p>
            <w:pPr>
              <w:spacing w:before="0" w:after="100"/>
            </w:pPr>
            <w:r>
              <w:rPr>
                <w:rFonts w:ascii="Arial" w:hAnsi="Arial"/>
                <w:sz w:val="20"/>
              </w:rPr>
              <w:t xml:space="preserve">CAM-B3LYP</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60" w:type="dxa"/>
          </w:tcPr>
          <w:p>
            <w:pPr>
              <w:spacing w:before="0" w:after="100"/>
            </w:pPr>
            <w:r>
              <w:rPr>
                <w:rFonts w:ascii="Arial" w:hAnsi="Arial"/>
                <w:sz w:val="20"/>
              </w:rPr>
              <w:t xml:space="preserve"/>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200" w:type="dxa"/>
          </w:tcPr>
          <w:p>
            <w:pPr>
              <w:spacing w:before="0" w:after="100"/>
            </w:pPr>
            <w:r>
              <w:rPr>
                <w:rFonts w:ascii="Arial" w:hAnsi="Arial"/>
                <w:sz w:val="20"/>
              </w:rPr>
              <w:t xml:space="preserve">ωB97X-D3</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60" w:type="dxa"/>
          </w:tcPr>
          <w:p>
            <w:pPr>
              <w:spacing w:before="0" w:after="100"/>
            </w:pPr>
            <w:r>
              <w:rPr>
                <w:rFonts w:ascii="Arial" w:hAnsi="Arial"/>
                <w:sz w:val="20"/>
              </w:rPr>
              <w:t xml:space="preserve"/>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200" w:type="dxa"/>
          </w:tcPr>
          <w:p>
            <w:pPr>
              <w:spacing w:before="0" w:after="100"/>
            </w:pPr>
            <w:r>
              <w:rPr>
                <w:rFonts w:ascii="Arial" w:hAnsi="Arial"/>
                <w:sz w:val="20"/>
              </w:rPr>
              <w:t xml:space="preserve">Experimental (water)</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~285</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~330</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~45</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60" w:type="dxa"/>
          </w:tcPr>
          <w:p>
            <w:pPr>
              <w:spacing w:before="0" w:after="100"/>
            </w:pPr>
            <w:r>
              <w:rPr>
                <w:rFonts w:ascii="Arial" w:hAnsi="Arial"/>
                <w:sz w:val="20"/>
              </w:rPr>
              <w:t xml:space="preserve">Yes</w:t>
            </w:r>
          </w:p>
        </w:tc>
      </w:tr>
    </w:tbl>
    <w:p>
      <w:pPr>
        <w:spacing w:before="0" w:after="100"/>
      </w:pPr>
      <w:r>
        <w:rPr>
          <w:rFonts w:ascii="Arial" w:hAnsi="Arial"/>
          <w:b w:val="0"/>
          <w:i w:val="0"/>
          <w:sz w:val="20"/>
        </w:rPr>
      </w:r>
    </w:p>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5: Which functionals correctly resolve both the LE and CT bands as separate features? Which functionals predict the CT state at too low an energy, potentially merging it with or appearing below the LE band? Does the trend in LE–CT gap correlate with the fraction of HF exchange in the functional? How does this compare to the trend you observed for PNA in ORCA Session 1?</w:t>
            </w:r>
          </w:p>
        </w:tc>
      </w:tr>
    </w:tbl>
    <w:p>
      <w:pPr>
        <w:spacing w:before="0" w:after="100"/>
      </w:pPr>
      <w:r>
        <w:rPr>
          <w:rFonts w:ascii="Arial" w:hAnsi="Arial"/>
          <w:b w:val="0"/>
          <w:i w:val="0"/>
          <w:sz w:val="20"/>
        </w:rPr>
      </w:r>
    </w:p>
    <w:p>
      <w:pPr>
        <w:spacing w:before="280" w:after="120"/>
      </w:pPr>
      <w:r>
        <w:rPr>
          <w:rFonts w:ascii="Arial" w:hAnsi="Arial"/>
          <w:b/>
          <w:i w:val="0"/>
          <w:sz w:val="24"/>
        </w:rPr>
        <w:t>Exercise 3.2: Solvent Dependence of the CT State</w:t>
      </w:r>
    </w:p>
    <w:p>
      <w:pPr>
        <w:spacing w:before="0" w:after="100"/>
      </w:pPr>
      <w:r>
        <w:rPr>
          <w:rFonts w:ascii="Arial" w:hAnsi="Arial"/>
          <w:b w:val="0"/>
          <w:i w:val="0"/>
          <w:sz w:val="20"/>
        </w:rPr>
        <w:t>The CT state of DMABN is strongly stabilized by polar solvents. Re-run Stages 4–6 using three different solvents to observe this effect. First re-run Stage 4 with each solvent, then re-run Stage 6.</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 Gas phase (no solvent model)</w:t>
            </w:r>
          </w:p>
          <w:p>
            <w:pPr>
              <w:spacing w:before="0" w:after="60"/>
            </w:pPr>
            <w:r>
              <w:rPr>
                <w:rFonts w:ascii="Courier New" w:hAnsi="Courier New"/>
                <w:sz w:val="20"/>
              </w:rPr>
              <w:t xml:space="preserve">./4-qchem-solvent-opt.sh --method B3LYP --basis 6-31+G(d) \</w:t>
            </w:r>
          </w:p>
          <w:p>
            <w:pPr>
              <w:spacing w:before="0" w:after="60"/>
            </w:pPr>
            <w:r>
              <w:rPr>
                <w:rFonts w:ascii="Courier New" w:hAnsi="Courier New"/>
                <w:sz w:val="20"/>
              </w:rPr>
              <w:t xml:space="preserve">  --solvent none --cpus 4 dmabn</w:t>
            </w:r>
          </w:p>
          <w:p>
            <w:pPr>
              <w:spacing w:before="0" w:after="60"/>
            </w:pPr>
            <w:r>
              <w:rPr>
                <w:rFonts w:ascii="Courier New" w:hAnsi="Courier New"/>
                <w:sz w:val="20"/>
              </w:rPr>
              <w:t xml:space="preserve"/>
            </w:r>
          </w:p>
          <w:p>
            <w:pPr>
              <w:spacing w:before="0" w:after="60"/>
            </w:pPr>
            <w:r>
              <w:rPr>
                <w:rFonts w:ascii="Courier New" w:hAnsi="Courier New"/>
                <w:sz w:val="20"/>
              </w:rPr>
              <w:t xml:space="preserve"># Cyclohexane (nonpolar)</w:t>
            </w:r>
          </w:p>
          <w:p>
            <w:pPr>
              <w:spacing w:before="0" w:after="60"/>
            </w:pPr>
            <w:r>
              <w:rPr>
                <w:rFonts w:ascii="Courier New" w:hAnsi="Courier New"/>
                <w:sz w:val="20"/>
              </w:rPr>
              <w:t xml:space="preserve">./4-qchem-solvent-opt.sh --method B3LYP --basis 6-31+G(d) \</w:t>
            </w:r>
          </w:p>
          <w:p>
            <w:pPr>
              <w:spacing w:before="0" w:after="60"/>
            </w:pPr>
            <w:r>
              <w:rPr>
                <w:rFonts w:ascii="Courier New" w:hAnsi="Courier New"/>
                <w:sz w:val="20"/>
              </w:rPr>
              <w:t xml:space="preserve">  --solvent cyclohexane --cpus 4 dmabn</w:t>
            </w:r>
          </w:p>
          <w:p>
            <w:pPr>
              <w:spacing w:before="0" w:after="60"/>
            </w:pPr>
            <w:r>
              <w:rPr>
                <w:rFonts w:ascii="Courier New" w:hAnsi="Courier New"/>
                <w:sz w:val="20"/>
              </w:rPr>
              <w:t xml:space="preserve"/>
            </w:r>
          </w:p>
          <w:p>
            <w:pPr>
              <w:spacing w:before="0" w:after="60"/>
            </w:pPr>
            <w:r>
              <w:rPr>
                <w:rFonts w:ascii="Courier New" w:hAnsi="Courier New"/>
                <w:sz w:val="20"/>
              </w:rPr>
              <w:t xml:space="preserve"># Acetonitrile (polar aprotic)</w:t>
            </w:r>
          </w:p>
          <w:p>
            <w:pPr>
              <w:spacing w:before="0" w:after="60"/>
            </w:pPr>
            <w:r>
              <w:rPr>
                <w:rFonts w:ascii="Courier New" w:hAnsi="Courier New"/>
                <w:sz w:val="20"/>
              </w:rPr>
              <w:t xml:space="preserve">./4-qchem-solvent-opt.sh --method B3LYP --basis 6-31+G(d) \</w:t>
            </w:r>
          </w:p>
          <w:p>
            <w:pPr>
              <w:spacing w:before="0" w:after="60"/>
            </w:pPr>
            <w:r>
              <w:rPr>
                <w:rFonts w:ascii="Courier New" w:hAnsi="Courier New"/>
                <w:sz w:val="20"/>
              </w:rPr>
              <w:t xml:space="preserve">  --solvent acetonitrile --cpus 4 dmabn</w:t>
            </w:r>
          </w:p>
        </w:tc>
      </w:tr>
    </w:tbl>
    <w:p>
      <w:pPr>
        <w:spacing w:before="0" w:after="100"/>
      </w:pPr>
      <w:r>
        <w:rPr>
          <w:rFonts w:ascii="Arial" w:hAnsi="Arial"/>
          <w:b w:val="0"/>
          <w:i w:val="0"/>
          <w:sz w:val="20"/>
        </w:rPr>
        <w:t>Re-run Stage 5 and Stage 6 (with CAM-B3LYP) for each solvent. Record the positions of the LE and CT bands:</w:t>
      </w:r>
    </w:p>
    <w:tbl>
      <w:tblPr>
        <w:tblLook w:firstColumn="1" w:firstRow="1" w:lastColumn="0" w:lastRow="0" w:noHBand="0" w:noVBand="1" w:val="04A0"/>
        <w:tblW w:w="9360" w:type="dxa"/>
      </w:tblPr>
      <w:tblGrid>
        <w:gridCol w:w="2400"/>
        <w:gridCol w:w="1560"/>
        <w:gridCol w:w="1700"/>
        <w:gridCol w:w="1700"/>
        <w:gridCol w:w="2000"/>
      </w:tblGrid>
      <w:tr>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2400" w:type="dxa"/>
          </w:tcPr>
          <w:p>
            <w:pPr>
              <w:spacing w:before="0" w:after="100"/>
            </w:pPr>
            <w:r>
              <w:rPr>
                <w:rFonts w:ascii="Arial" w:hAnsi="Arial"/>
                <w:sz w:val="20"/>
                <w:b/>
              </w:rPr>
              <w:t xml:space="preserve">Solvent</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560" w:type="dxa"/>
          </w:tcPr>
          <w:p>
            <w:pPr>
              <w:spacing w:before="0" w:after="100"/>
            </w:pPr>
            <w:r>
              <w:rPr>
                <w:rFonts w:ascii="Arial" w:hAnsi="Arial"/>
                <w:sz w:val="20"/>
                <w:b/>
              </w:rPr>
              <w:t xml:space="preserve">Polarity (ε)</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700" w:type="dxa"/>
          </w:tcPr>
          <w:p>
            <w:pPr>
              <w:spacing w:before="0" w:after="100"/>
            </w:pPr>
            <w:r>
              <w:rPr>
                <w:rFonts w:ascii="Arial" w:hAnsi="Arial"/>
                <w:sz w:val="20"/>
                <w:b/>
              </w:rPr>
              <w:t xml:space="preserve">LE λₘₐₓ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700" w:type="dxa"/>
          </w:tcPr>
          <w:p>
            <w:pPr>
              <w:spacing w:before="0" w:after="100"/>
            </w:pPr>
            <w:r>
              <w:rPr>
                <w:rFonts w:ascii="Arial" w:hAnsi="Arial"/>
                <w:sz w:val="20"/>
                <w:b/>
              </w:rPr>
              <w:t xml:space="preserve">CT λₘₐₓ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2000" w:type="dxa"/>
          </w:tcPr>
          <w:p>
            <w:pPr>
              <w:spacing w:before="0" w:after="100"/>
            </w:pPr>
            <w:r>
              <w:rPr>
                <w:rFonts w:ascii="Arial" w:hAnsi="Arial"/>
                <w:sz w:val="20"/>
                <w:b/>
              </w:rPr>
              <w:t xml:space="preserve">CT red-shift vs. gas</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400" w:type="dxa"/>
          </w:tcPr>
          <w:p>
            <w:pPr>
              <w:spacing w:before="0" w:after="100"/>
            </w:pPr>
            <w:r>
              <w:rPr>
                <w:rFonts w:ascii="Arial" w:hAnsi="Arial"/>
                <w:sz w:val="20"/>
              </w:rPr>
              <w:t xml:space="preserve">Gas phase (no SMD)</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560" w:type="dxa"/>
          </w:tcPr>
          <w:p>
            <w:pPr>
              <w:spacing w:before="0" w:after="100"/>
            </w:pPr>
            <w:r>
              <w:rPr>
                <w:rFonts w:ascii="Arial" w:hAnsi="Arial"/>
                <w:sz w:val="20"/>
              </w:rPr>
              <w:t xml:space="preserve">1.0</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400" w:type="dxa"/>
          </w:tcPr>
          <w:p>
            <w:pPr>
              <w:spacing w:before="0" w:after="100"/>
            </w:pPr>
            <w:r>
              <w:rPr>
                <w:rFonts w:ascii="Arial" w:hAnsi="Arial"/>
                <w:sz w:val="20"/>
              </w:rPr>
              <w:t xml:space="preserve">Cyclohexane</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560" w:type="dxa"/>
          </w:tcPr>
          <w:p>
            <w:pPr>
              <w:spacing w:before="0" w:after="100"/>
            </w:pPr>
            <w:r>
              <w:rPr>
                <w:rFonts w:ascii="Arial" w:hAnsi="Arial"/>
                <w:sz w:val="20"/>
              </w:rPr>
              <w:t xml:space="preserve">2.0</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400" w:type="dxa"/>
          </w:tcPr>
          <w:p>
            <w:pPr>
              <w:spacing w:before="0" w:after="100"/>
            </w:pPr>
            <w:r>
              <w:rPr>
                <w:rFonts w:ascii="Arial" w:hAnsi="Arial"/>
                <w:sz w:val="20"/>
              </w:rPr>
              <w:t xml:space="preserve">Water</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560" w:type="dxa"/>
          </w:tcPr>
          <w:p>
            <w:pPr>
              <w:spacing w:before="0" w:after="100"/>
            </w:pPr>
            <w:r>
              <w:rPr>
                <w:rFonts w:ascii="Arial" w:hAnsi="Arial"/>
                <w:sz w:val="20"/>
              </w:rPr>
              <w:t xml:space="preserve">78.4</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400" w:type="dxa"/>
          </w:tcPr>
          <w:p>
            <w:pPr>
              <w:spacing w:before="0" w:after="100"/>
            </w:pPr>
            <w:r>
              <w:rPr>
                <w:rFonts w:ascii="Arial" w:hAnsi="Arial"/>
                <w:sz w:val="20"/>
              </w:rPr>
              <w:t xml:space="preserve">Acetonitrile</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560" w:type="dxa"/>
          </w:tcPr>
          <w:p>
            <w:pPr>
              <w:spacing w:before="0" w:after="100"/>
            </w:pPr>
            <w:r>
              <w:rPr>
                <w:rFonts w:ascii="Arial" w:hAnsi="Arial"/>
                <w:sz w:val="20"/>
              </w:rPr>
              <w:t xml:space="preserve">35.7</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70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
            </w:r>
          </w:p>
        </w:tc>
      </w:tr>
    </w:tbl>
    <w:p>
      <w:pPr>
        <w:spacing w:before="0" w:after="100"/>
      </w:pPr>
      <w:r>
        <w:rPr>
          <w:rFonts w:ascii="Arial" w:hAnsi="Arial"/>
          <w:b w:val="0"/>
          <w:i w:val="0"/>
          <w:sz w:val="20"/>
        </w:rPr>
      </w:r>
    </w:p>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6: Which band (LE or CT) shifts more in wavelength as solvent polarity increases? What is the physical origin of this differential stabilization? The CT state involves electron transfer from the amino donor to the cyano acceptor; how does the polarity of the surrounding medium affect this? Compare to the solvatochromism of PNA from ORCA Session 1.</w:t>
            </w:r>
          </w:p>
        </w:tc>
      </w:tr>
    </w:tbl>
    <w:p>
      <w:pPr>
        <w:spacing w:before="0" w:after="100"/>
      </w:pPr>
      <w:r>
        <w:rPr>
          <w:rFonts w:ascii="Arial" w:hAnsi="Arial"/>
          <w:b w:val="0"/>
          <w:i w:val="0"/>
          <w:sz w:val="20"/>
        </w:rPr>
      </w:r>
    </w:p>
    <w:p>
      <w:pPr>
        <w:spacing w:before="280" w:after="120"/>
      </w:pPr>
      <w:r>
        <w:rPr>
          <w:rFonts w:ascii="Arial" w:hAnsi="Arial"/>
          <w:b/>
          <w:i w:val="0"/>
          <w:sz w:val="24"/>
        </w:rPr>
        <w:t>Exercise 3.3: Direct Cross-Software Comparison (Core Exercise)</w:t>
      </w:r>
    </w:p>
    <w:p>
      <w:pPr>
        <w:spacing w:before="0" w:after="100"/>
      </w:pPr>
      <w:r>
        <w:rPr>
          <w:rFonts w:ascii="Arial" w:hAnsi="Arial"/>
          <w:b w:val="0"/>
          <w:i w:val="0"/>
          <w:sz w:val="20"/>
        </w:rPr>
        <w:t>This is the cross-software comparison that is unique to this lab. You will re-run the same functional comparison for a simpler molecule (PNA, which you studied in ORCA Session 1) in Q-Chem and directly compare the Q-Chem and ORCA excitation energies.</w:t>
      </w:r>
    </w:p>
    <w:p>
      <w:pPr>
        <w:spacing w:before="0" w:after="100"/>
      </w:pPr>
      <w:r>
        <w:rPr>
          <w:rFonts w:ascii="Arial" w:hAnsi="Arial"/>
          <w:b w:val="0"/>
          <w:i w:val="0"/>
          <w:sz w:val="20"/>
        </w:rPr>
        <w:t>If you have the pre_xyz/pna.xyz file from ORCA Session 1, copy it to pre_xyz/pna.xyz in this directory. Add pna to molecules.txt. Then re-run the full pipeline for PNA in Q-Chem:</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 Add PNA to your molecule list</w:t>
            </w:r>
          </w:p>
          <w:p>
            <w:pPr>
              <w:spacing w:before="0" w:after="60"/>
            </w:pPr>
            <w:r>
              <w:rPr>
                <w:rFonts w:ascii="Courier New" w:hAnsi="Courier New"/>
                <w:sz w:val="20"/>
              </w:rPr>
              <w:t xml:space="preserve">echo 'pna' &gt;&gt; molecules.txt</w:t>
            </w:r>
          </w:p>
          <w:p>
            <w:pPr>
              <w:spacing w:before="0" w:after="60"/>
            </w:pPr>
            <w:r>
              <w:rPr>
                <w:rFonts w:ascii="Courier New" w:hAnsi="Courier New"/>
                <w:sz w:val="20"/>
              </w:rPr>
              <w:t xml:space="preserve"/>
            </w:r>
          </w:p>
          <w:p>
            <w:pPr>
              <w:spacing w:before="0" w:after="60"/>
            </w:pPr>
            <w:r>
              <w:rPr>
                <w:rFonts w:ascii="Courier New" w:hAnsi="Courier New"/>
                <w:sz w:val="20"/>
              </w:rPr>
              <w:t xml:space="preserve"># Run Stages 1-5 for PNA (same parameters as ORCA Session 1)</w:t>
            </w:r>
          </w:p>
          <w:p>
            <w:pPr>
              <w:spacing w:before="0" w:after="60"/>
            </w:pPr>
            <w:r>
              <w:rPr>
                <w:rFonts w:ascii="Courier New" w:hAnsi="Courier New"/>
                <w:sz w:val="20"/>
              </w:rPr>
              <w:t xml:space="preserve">./1-qchem-init-opt.sh --method B3LYP --basis def2-SVP --cpus 4 pna</w:t>
            </w:r>
          </w:p>
          <w:p>
            <w:pPr>
              <w:spacing w:before="0" w:after="60"/>
            </w:pPr>
            <w:r>
              <w:rPr>
                <w:rFonts w:ascii="Courier New" w:hAnsi="Courier New"/>
                <w:sz w:val="20"/>
              </w:rPr>
              <w:t xml:space="preserve">./2-qchem-conf-search.sh --ecut 5 --conf 500 pna</w:t>
            </w:r>
          </w:p>
          <w:p>
            <w:pPr>
              <w:spacing w:before="0" w:after="60"/>
            </w:pPr>
            <w:r>
              <w:rPr>
                <w:rFonts w:ascii="Courier New" w:hAnsi="Courier New"/>
                <w:sz w:val="20"/>
              </w:rPr>
              <w:t xml:space="preserve">./3-qchem-conf-split.sh pna</w:t>
            </w:r>
          </w:p>
          <w:p>
            <w:pPr>
              <w:spacing w:before="0" w:after="60"/>
            </w:pPr>
            <w:r>
              <w:rPr>
                <w:rFonts w:ascii="Courier New" w:hAnsi="Courier New"/>
                <w:sz w:val="20"/>
              </w:rPr>
              <w:t xml:space="preserve">./4-qchem-solvent-opt.sh --method B3LYP --basis 6-31+G(d) \</w:t>
            </w:r>
          </w:p>
          <w:p>
            <w:pPr>
              <w:spacing w:before="0" w:after="60"/>
            </w:pPr>
            <w:r>
              <w:rPr>
                <w:rFonts w:ascii="Courier New" w:hAnsi="Courier New"/>
                <w:sz w:val="20"/>
              </w:rPr>
              <w:t xml:space="preserve">  --solvent water --cpus 4 pna</w:t>
            </w:r>
          </w:p>
          <w:p>
            <w:pPr>
              <w:spacing w:before="0" w:after="60"/>
            </w:pPr>
            <w:r>
              <w:rPr>
                <w:rFonts w:ascii="Courier New" w:hAnsi="Courier New"/>
                <w:sz w:val="20"/>
              </w:rPr>
              <w:t xml:space="preserve">./5-qchem-boltzmann-weight.sh --temp 298.15 --p-cut 0.01 pna</w:t>
            </w:r>
          </w:p>
          <w:p>
            <w:pPr>
              <w:spacing w:before="0" w:after="60"/>
            </w:pPr>
            <w:r>
              <w:rPr>
                <w:rFonts w:ascii="Courier New" w:hAnsi="Courier New"/>
                <w:sz w:val="20"/>
              </w:rPr>
              <w:t xml:space="preserve"/>
            </w:r>
          </w:p>
          <w:p>
            <w:pPr>
              <w:spacing w:before="0" w:after="60"/>
            </w:pPr>
            <w:r>
              <w:rPr>
                <w:rFonts w:ascii="Courier New" w:hAnsi="Courier New"/>
                <w:sz w:val="20"/>
              </w:rPr>
              <w:t xml:space="preserve"># Run Stage 6 with each functional from ORCA Session 1</w:t>
            </w:r>
          </w:p>
          <w:p>
            <w:pPr>
              <w:spacing w:before="0" w:after="60"/>
            </w:pPr>
            <w:r>
              <w:rPr>
                <w:rFonts w:ascii="Courier New" w:hAnsi="Courier New"/>
                <w:sz w:val="20"/>
              </w:rPr>
              <w:t xml:space="preserve">./6-qchem-tddft.sh --method B3LYP --basis def2-SVP \</w:t>
            </w:r>
          </w:p>
          <w:p>
            <w:pPr>
              <w:spacing w:before="0" w:after="60"/>
            </w:pPr>
            <w:r>
              <w:rPr>
                <w:rFonts w:ascii="Courier New" w:hAnsi="Courier New"/>
                <w:sz w:val="20"/>
              </w:rPr>
              <w:t xml:space="preserve">  --roots 30 --solvent water --cpus 4 pna</w:t>
            </w:r>
          </w:p>
          <w:p>
            <w:pPr>
              <w:spacing w:before="0" w:after="60"/>
            </w:pPr>
            <w:r>
              <w:rPr>
                <w:rFonts w:ascii="Courier New" w:hAnsi="Courier New"/>
                <w:sz w:val="20"/>
              </w:rPr>
              <w:t xml:space="preserve"># (rename and repeat for PBE0, CAM-B3LYP, wB97X-D3)</w:t>
            </w:r>
          </w:p>
        </w:tc>
      </w:tr>
    </w:tbl>
    <w:p>
      <w:pPr>
        <w:spacing w:before="0" w:after="100"/>
      </w:pPr>
      <w:r>
        <w:rPr>
          <w:rFonts w:ascii="Arial" w:hAnsi="Arial"/>
          <w:b w:val="0"/>
          <w:i w:val="0"/>
          <w:sz w:val="20"/>
        </w:rPr>
        <w:t>Fill in the cross-software comparison table using your ORCA Session 1 results and these new Q-Chem results:</w:t>
      </w:r>
    </w:p>
    <w:tbl>
      <w:tblPr>
        <w:tblLook w:firstColumn="1" w:firstRow="1" w:lastColumn="0" w:lastRow="0" w:noHBand="0" w:noVBand="1" w:val="04A0"/>
        <w:tblW w:w="9360" w:type="dxa"/>
      </w:tblPr>
      <w:tblGrid>
        <w:gridCol w:w="2000"/>
        <w:gridCol w:w="1840"/>
        <w:gridCol w:w="1840"/>
        <w:gridCol w:w="1840"/>
        <w:gridCol w:w="1840"/>
      </w:tblGrid>
      <w:tr>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2000" w:type="dxa"/>
          </w:tcPr>
          <w:p>
            <w:pPr>
              <w:spacing w:before="0" w:after="100"/>
            </w:pPr>
            <w:r>
              <w:rPr>
                <w:rFonts w:ascii="Arial" w:hAnsi="Arial"/>
                <w:sz w:val="20"/>
                <w:b/>
              </w:rPr>
              <w:t xml:space="preserve">Functional</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840" w:type="dxa"/>
          </w:tcPr>
          <w:p>
            <w:pPr>
              <w:spacing w:before="0" w:after="100"/>
            </w:pPr>
            <w:r>
              <w:rPr>
                <w:rFonts w:ascii="Arial" w:hAnsi="Arial"/>
                <w:sz w:val="20"/>
                <w:b/>
              </w:rPr>
              <w:t xml:space="preserve">ORCA λₘₐₓ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840" w:type="dxa"/>
          </w:tcPr>
          <w:p>
            <w:pPr>
              <w:spacing w:before="0" w:after="100"/>
            </w:pPr>
            <w:r>
              <w:rPr>
                <w:rFonts w:ascii="Arial" w:hAnsi="Arial"/>
                <w:sz w:val="20"/>
                <w:b/>
              </w:rPr>
              <w:t xml:space="preserve">Q-Chem λₘₐₓ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840" w:type="dxa"/>
          </w:tcPr>
          <w:p>
            <w:pPr>
              <w:spacing w:before="0" w:after="100"/>
            </w:pPr>
            <w:r>
              <w:rPr>
                <w:rFonts w:ascii="Arial" w:hAnsi="Arial"/>
                <w:sz w:val="20"/>
                <w:b/>
              </w:rPr>
              <w:t xml:space="preserve">Difference (nm)</w:t>
            </w:r>
          </w:p>
        </w:tc>
        <w:tc>
          <w:tcPr>
            <w:tcBorders>
              <w:top w:val="single" w:sz="4" w:color="AAAAAA"/>
              <w:bottom w:val="single" w:sz="4" w:color="AAAAAA"/>
              <w:left w:val="single" w:sz="4" w:color="AAAAAA"/>
              <w:right w:val="single" w:sz="4" w:color="AAAAAA"/>
            </w:tcBorders>
            <w:shd w:val="clear" w:color="auto" w:fill="D9E2F3"/>
            <w:tcMar>
              <w:top w:w="80" w:type="dxa"/>
              <w:bottom w:w="80" w:type="dxa"/>
              <w:left w:w="100" w:type="dxa"/>
              <w:right w:w="100" w:type="dxa"/>
            </w:tcMar>
            <w:tcW w:w="1840" w:type="dxa"/>
          </w:tcPr>
          <w:p>
            <w:pPr>
              <w:spacing w:before="0" w:after="100"/>
            </w:pPr>
            <w:r>
              <w:rPr>
                <w:rFonts w:ascii="Arial" w:hAnsi="Arial"/>
                <w:sz w:val="20"/>
                <w:b/>
              </w:rPr>
              <w:t xml:space="preserve">Expt. (nm)</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B3LYP</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~370</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PBE0</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~370</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CAM-B3LYP</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~370</w:t>
            </w:r>
          </w:p>
        </w:tc>
      </w:tr>
      <w:tr>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2000" w:type="dxa"/>
          </w:tcPr>
          <w:p>
            <w:pPr>
              <w:spacing w:before="0" w:after="100"/>
            </w:pPr>
            <w:r>
              <w:rPr>
                <w:rFonts w:ascii="Arial" w:hAnsi="Arial"/>
                <w:sz w:val="20"/>
              </w:rPr>
              <w:t xml:space="preserve">ωB97X-D3</w:t>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
            </w:r>
          </w:p>
        </w:tc>
        <w:tc>
          <w:tcPr>
            <w:tcBorders>
              <w:top w:val="single" w:sz="4" w:color="AAAAAA"/>
              <w:bottom w:val="single" w:sz="4" w:color="AAAAAA"/>
              <w:left w:val="single" w:sz="4" w:color="AAAAAA"/>
              <w:right w:val="single" w:sz="4" w:color="AAAAAA"/>
            </w:tcBorders>
            <w:tcMar>
              <w:top w:w="80" w:type="dxa"/>
              <w:bottom w:w="80" w:type="dxa"/>
              <w:left w:w="100" w:type="dxa"/>
              <w:right w:w="100" w:type="dxa"/>
            </w:tcMar>
            <w:tcW w:w="1840" w:type="dxa"/>
          </w:tcPr>
          <w:p>
            <w:pPr>
              <w:spacing w:before="0" w:after="100"/>
            </w:pPr>
            <w:r>
              <w:rPr>
                <w:rFonts w:ascii="Arial" w:hAnsi="Arial"/>
                <w:sz w:val="20"/>
              </w:rPr>
              <w:t xml:space="preserve">~370</w:t>
            </w:r>
          </w:p>
        </w:tc>
      </w:tr>
    </w:tbl>
    <w:p>
      <w:pPr>
        <w:spacing w:before="0" w:after="100"/>
      </w:pPr>
      <w:r>
        <w:rPr>
          <w:rFonts w:ascii="Arial" w:hAnsi="Arial"/>
          <w:b w:val="0"/>
          <w:i w:val="0"/>
          <w:sz w:val="20"/>
        </w:rPr>
      </w:r>
    </w:p>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7: Are the Q-Chem and ORCA λₘₐₓ values for PNA identical? If they differ, by how much? Refer to the Cross-Software Comparison box at the beginning of this handout. Which of the listed sources of discrepancy do you think contributes most to the difference you observe? Does the trend across functionals agree between the two programs?</w:t>
            </w:r>
          </w:p>
        </w:tc>
      </w:tr>
    </w:tbl>
    <w:p>
      <w:pPr>
        <w:spacing w:before="0" w:after="100"/>
      </w:pPr>
      <w:r>
        <w:rPr>
          <w:rFonts w:ascii="Arial" w:hAnsi="Arial"/>
          <w:b w:val="0"/>
          <w:i w:val="0"/>
          <w:sz w:val="20"/>
        </w:rPr>
      </w:r>
    </w:p>
    <w:p>
      <w:pPr>
        <w:spacing w:before="280" w:after="120"/>
      </w:pPr>
      <w:r>
        <w:rPr>
          <w:rFonts w:ascii="Arial" w:hAnsi="Arial"/>
          <w:b/>
          <w:i w:val="0"/>
          <w:sz w:val="24"/>
        </w:rPr>
        <w:t>Exercise 3.4: Basis Set and Root Count (Optional, time permitting)</w:t>
      </w:r>
    </w:p>
    <w:p>
      <w:pPr>
        <w:spacing w:before="0" w:after="100"/>
      </w:pPr>
      <w:r>
        <w:rPr>
          <w:rFonts w:ascii="Arial" w:hAnsi="Arial"/>
          <w:b w:val="0"/>
          <w:i w:val="0"/>
          <w:sz w:val="20"/>
        </w:rPr>
        <w:t>Using your best-performing functional from Exercise 3.1, test whether the predicted band positions change significantly with a larger basis set:</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 Triple-zeta basis set</w:t>
            </w:r>
          </w:p>
          <w:p>
            <w:pPr>
              <w:spacing w:before="0" w:after="60"/>
            </w:pPr>
            <w:r>
              <w:rPr>
                <w:rFonts w:ascii="Courier New" w:hAnsi="Courier New"/>
                <w:sz w:val="20"/>
              </w:rPr>
              <w:t xml:space="preserve">./6-qchem-tddft.sh --method CAM-B3LYP --basis def2-TZVP \</w:t>
            </w:r>
          </w:p>
          <w:p>
            <w:pPr>
              <w:spacing w:before="0" w:after="60"/>
            </w:pPr>
            <w:r>
              <w:rPr>
                <w:rFonts w:ascii="Courier New" w:hAnsi="Courier New"/>
                <w:sz w:val="20"/>
              </w:rPr>
              <w:t xml:space="preserve">  --roots 30 --solvent water --cpus 4 dmabn</w:t>
            </w:r>
          </w:p>
        </w:tc>
      </w:tr>
    </w:tbl>
    <w:p>
      <w:pPr>
        <w:spacing w:before="0" w:after="100"/>
      </w:pPr>
      <w:r>
        <w:rPr>
          <w:rFonts w:ascii="Arial" w:hAnsi="Arial"/>
          <w:b w:val="0"/>
          <w:i w:val="0"/>
          <w:sz w:val="20"/>
        </w:rPr>
        <w:t>Also test whether 30 roots is sufficient by repeating with 50:</w:t>
      </w:r>
    </w:p>
    <w:tbl>
      <w:tblPr>
        <w:tblLook w:firstColumn="1" w:firstRow="1" w:lastColumn="0" w:lastRow="0" w:noHBand="0" w:noVBand="1" w:val="04A0"/>
        <w:tblW w:w="9360" w:type="dxa"/>
      </w:tblPr>
      <w:tblGrid>
        <w:gridCol w:w="9360"/>
      </w:tblGrid>
      <w:tr>
        <w:tc>
          <w:tcPr>
            <w:tcBorders>
              <w:top w:val="single" w:sz="4" w:color="888888"/>
              <w:bottom w:val="single" w:sz="4" w:color="888888"/>
              <w:left w:val="single" w:sz="4" w:color="888888"/>
              <w:right w:val="single" w:sz="4" w:color="888888"/>
            </w:tcBorders>
            <w:shd w:val="clear" w:color="auto" w:fill="F2F2F2"/>
            <w:tcMar>
              <w:top w:w="80" w:type="dxa"/>
              <w:bottom w:w="80" w:type="dxa"/>
              <w:left w:w="180" w:type="dxa"/>
              <w:right w:w="180" w:type="dxa"/>
            </w:tcMar>
            <w:tcW w:w="9360" w:type="dxa"/>
          </w:tcPr>
          <w:p>
            <w:pPr>
              <w:spacing w:before="0" w:after="60"/>
            </w:pPr>
            <w:r>
              <w:rPr>
                <w:rFonts w:ascii="Courier New" w:hAnsi="Courier New"/>
                <w:sz w:val="20"/>
              </w:rPr>
              <w:t xml:space="preserve">./6-qchem-tddft.sh --method CAM-B3LYP --basis def2-SVP \</w:t>
            </w:r>
          </w:p>
          <w:p>
            <w:pPr>
              <w:spacing w:before="0" w:after="60"/>
            </w:pPr>
            <w:r>
              <w:rPr>
                <w:rFonts w:ascii="Courier New" w:hAnsi="Courier New"/>
                <w:sz w:val="20"/>
              </w:rPr>
              <w:t xml:space="preserve">  --roots 50 --solvent water --cpus 4 dmabn</w:t>
            </w:r>
          </w:p>
        </w:tc>
      </w:tr>
    </w:tbl>
    <w:tbl>
      <w:tblPr>
        <w:tblLook w:firstColumn="1" w:firstRow="1" w:lastColumn="0" w:lastRow="0" w:noHBand="0" w:noVBand="1" w:val="04A0"/>
        <w:tblW w:w="9360" w:type="dxa"/>
      </w:tblPr>
      <w:tblGrid>
        <w:gridCol w:w="9360"/>
      </w:tblGrid>
      <w:tr>
        <w:tc>
          <w:tcPr>
            <w:tcBorders>
              <w:top w:val="single" w:sz="4" w:color="7F7F7F"/>
              <w:bottom w:val="single" w:sz="4" w:color="7F7F7F"/>
              <w:left w:val="single" w:sz="4" w:color="7F7F7F"/>
              <w:right w:val="single" w:sz="4" w:color="7F7F7F"/>
            </w:tcBorders>
            <w:shd w:val="clear" w:color="auto" w:fill="FFF2CC"/>
            <w:tcMar>
              <w:top w:w="80" w:type="dxa"/>
              <w:bottom w:w="80" w:type="dxa"/>
              <w:left w:w="140" w:type="dxa"/>
              <w:right w:w="140" w:type="dxa"/>
            </w:tcMar>
            <w:tcW w:w="9360" w:type="dxa"/>
          </w:tcPr>
          <w:p>
            <w:pPr>
              <w:spacing w:before="0" w:after="60"/>
            </w:pPr>
            <w:r>
              <w:rPr>
                <w:rFonts w:ascii="Arial" w:hAnsi="Arial"/>
                <w:sz w:val="20"/>
                <w:i/>
              </w:rPr>
              <w:t xml:space="preserve">Discussion Question 8: Does the position of the LE or CT band change when you increase the basis set from def2-SVP to def2-TZVP? Does the spectrum change when you compute more roots (50 vs. 30)? What would cause a qualitative change in the spectrum when more roots are requested (i.e., additional states entering the energy window)?</w:t>
            </w:r>
          </w:p>
        </w:tc>
      </w:tr>
    </w:tbl>
    <w:p>
      <w:pPr>
        <w:spacing w:before="0" w:after="100"/>
      </w:pPr>
      <w:r>
        <w:rPr>
          <w:rFonts w:ascii="Arial" w:hAnsi="Arial"/>
          <w:b w:val="0"/>
          <w:i w:val="0"/>
          <w:sz w:val="20"/>
        </w:rPr>
      </w:r>
    </w:p>
    <w:p>
      <w:pPr>
        <w:spacing w:before="360" w:after="160"/>
      </w:pPr>
      <w:r>
        <w:rPr>
          <w:rFonts w:ascii="Arial" w:hAnsi="Arial"/>
          <w:b/>
          <w:i w:val="0"/>
          <w:sz w:val="28"/>
        </w:rPr>
        <w:t>Part 4: Summary and Report Preparation</w:t>
      </w:r>
    </w:p>
    <w:p>
      <w:pPr>
        <w:spacing w:before="0" w:after="100"/>
      </w:pPr>
      <w:r>
        <w:rPr>
          <w:rFonts w:ascii="Arial" w:hAnsi="Arial"/>
          <w:b w:val="0"/>
          <w:i w:val="0"/>
          <w:sz w:val="20"/>
        </w:rPr>
        <w:t>Compile your results into a short report (2–3 pages) that includes:</w:t>
      </w:r>
    </w:p>
    <w:p>
      <w:pPr>
        <w:pStyle w:val="ListBullet"/>
        <w:spacing w:after="60"/>
      </w:pPr>
      <w:r>
        <w:rPr>
          <w:rFonts w:ascii="Arial" w:hAnsi="Arial"/>
          <w:sz w:val="20"/>
        </w:rPr>
        <w:t>A brief description of DMABN, its two distinct excited states, and why this makes it more challenging to model than PNA.</w:t>
      </w:r>
    </w:p>
    <w:p>
      <w:pPr>
        <w:pStyle w:val="ListBullet"/>
        <w:spacing w:after="60"/>
      </w:pPr>
      <w:r>
        <w:rPr>
          <w:rFonts w:ascii="Arial" w:hAnsi="Arial"/>
          <w:sz w:val="20"/>
        </w:rPr>
        <w:t>Your functional benchmarking table (Exercise 3.1) with a discussion of which functionals correctly resolve both the LE and CT bands.</w:t>
      </w:r>
    </w:p>
    <w:p>
      <w:pPr>
        <w:pStyle w:val="ListBullet"/>
        <w:spacing w:after="60"/>
      </w:pPr>
      <w:r>
        <w:rPr>
          <w:rFonts w:ascii="Arial" w:hAnsi="Arial"/>
          <w:sz w:val="20"/>
        </w:rPr>
        <w:t>Your solvent dependence results (Exercise 3.2) with an explanation of the physical origin of CT state stabilization in polar media.</w:t>
      </w:r>
    </w:p>
    <w:p>
      <w:pPr>
        <w:pStyle w:val="ListBullet"/>
        <w:spacing w:after="60"/>
      </w:pPr>
      <w:r>
        <w:rPr>
          <w:rFonts w:ascii="Arial" w:hAnsi="Arial"/>
          <w:sz w:val="20"/>
        </w:rPr>
        <w:t>Your cross-software comparison table (Exercise 3.3) with a discussion of why Q-Chem and ORCA give similar but not identical results.</w:t>
      </w:r>
    </w:p>
    <w:p>
      <w:pPr>
        <w:pStyle w:val="ListBullet"/>
        <w:spacing w:after="60"/>
      </w:pPr>
      <w:r>
        <w:rPr>
          <w:rFonts w:ascii="Arial" w:hAnsi="Arial"/>
          <w:sz w:val="20"/>
        </w:rPr>
        <w:t>At least one figure showing your computed UV-Vis spectrum with the stick spectrum overlaid, identifying the LE and CT bands.</w:t>
      </w:r>
    </w:p>
    <w:p>
      <w:pPr>
        <w:pStyle w:val="ListBullet"/>
        <w:spacing w:after="60"/>
      </w:pPr>
      <w:r>
        <w:rPr>
          <w:rFonts w:ascii="Arial" w:hAnsi="Arial"/>
          <w:sz w:val="20"/>
        </w:rPr>
        <w:t>A recommendation for the functional and basis set combination you would use for a research-level computation on a CT-active molecule.</w:t>
      </w:r>
    </w:p>
    <w:p>
      <w:pPr>
        <w:spacing w:before="0" w:after="100"/>
      </w:pPr>
      <w:r>
        <w:rPr>
          <w:rFonts w:ascii="Arial" w:hAnsi="Arial"/>
          <w:b w:val="0"/>
          <w:i w:val="0"/>
          <w:sz w:val="20"/>
        </w:rPr>
      </w:r>
    </w:p>
    <w:p>
      <w:pPr>
        <w:spacing w:before="360" w:after="160"/>
      </w:pPr>
      <w:r>
        <w:rPr>
          <w:rFonts w:ascii="Arial" w:hAnsi="Arial"/>
          <w:b/>
          <w:i w:val="0"/>
          <w:sz w:val="28"/>
        </w:rPr>
        <w:t>Key References</w:t>
      </w:r>
    </w:p>
    <w:p>
      <w:pPr>
        <w:spacing w:before="0" w:after="100"/>
      </w:pPr>
      <w:r>
        <w:rPr>
          <w:rFonts w:ascii="Arial" w:hAnsi="Arial"/>
          <w:b w:val="0"/>
          <w:i w:val="0"/>
          <w:sz w:val="20"/>
        </w:rPr>
        <w:t>1. Laurent, A. D.; Jacquemin, D. TD-DFT Benchmarks: A Review. Int. J. Quantum Chem. 2013, 113, 2019–2039.</w:t>
      </w:r>
    </w:p>
    <w:p>
      <w:pPr>
        <w:spacing w:before="0" w:after="100"/>
      </w:pPr>
      <w:r>
        <w:rPr>
          <w:rFonts w:ascii="Arial" w:hAnsi="Arial"/>
          <w:b w:val="0"/>
          <w:i w:val="0"/>
          <w:sz w:val="20"/>
        </w:rPr>
        <w:t>2. Grabowski, Z. R.; Rotkiewicz, K.; Rettig, W. Structural Changes Accompanying Intramolecular Electron Transfer: Focus on TICT States. Chem. Rev. 2003, 103, 3899–4032.</w:t>
      </w:r>
    </w:p>
    <w:p>
      <w:pPr>
        <w:spacing w:before="0" w:after="100"/>
      </w:pPr>
      <w:r>
        <w:rPr>
          <w:rFonts w:ascii="Arial" w:hAnsi="Arial"/>
          <w:b w:val="0"/>
          <w:i w:val="0"/>
          <w:sz w:val="20"/>
        </w:rPr>
        <w:t>3. Peach, M. J. G.; Benfield, P.; Helgaker, T.; Tozer, D. J. Excitation Energies in Density Functional Theory: An Evaluation and a Diagnostic Test. J. Chem. Phys. 2008, 128, 044118.</w:t>
      </w:r>
    </w:p>
    <w:p>
      <w:pPr>
        <w:spacing w:before="0" w:after="100"/>
      </w:pPr>
      <w:r>
        <w:rPr>
          <w:rFonts w:ascii="Arial" w:hAnsi="Arial"/>
          <w:b w:val="0"/>
          <w:i w:val="0"/>
          <w:sz w:val="20"/>
        </w:rPr>
        <w:t>4. Marenich, A. V.; Cramer, C. J.; Truhlar, D. G. Universal Solvation Model Based on Solute Electron Density. J. Phys. Chem. B 2009, 113, 6378–6396.</w:t>
      </w:r>
    </w:p>
    <w:p>
      <w:pPr>
        <w:spacing w:before="0" w:after="100"/>
      </w:pPr>
      <w:r>
        <w:rPr>
          <w:rFonts w:ascii="Arial" w:hAnsi="Arial"/>
          <w:b w:val="0"/>
          <w:i w:val="0"/>
          <w:sz w:val="20"/>
        </w:rPr>
        <w:t>5. Bursch, M.; Mewes, J.-M.; Hansen, A.; Grimme, S. Best-Practice DFT Protocols for Basic Molecular Computational Chemistry. Angew. Chem. Int. Ed. 2023, 62, e202205735.</w:t>
      </w:r>
    </w:p>
    <w:p>
      <w:pPr>
        <w:spacing w:before="0" w:after="100"/>
      </w:pPr>
      <w:r>
        <w:rPr>
          <w:rFonts w:ascii="Arial" w:hAnsi="Arial"/>
          <w:b w:val="0"/>
          <w:i w:val="0"/>
          <w:sz w:val="20"/>
        </w:rPr>
      </w:r>
    </w:p>
    <w:tbl>
      <w:tblPr>
        <w:tblLook w:firstColumn="1" w:firstRow="1" w:lastColumn="0" w:lastRow="0" w:noHBand="0" w:noVBand="1" w:val="04A0"/>
        <w:tblW w:w="9360" w:type="dxa"/>
      </w:tblPr>
      <w:tblGrid>
        <w:gridCol w:w="9360"/>
      </w:tblGrid>
      <w:tr>
        <w:tc>
          <w:tcPr>
            <w:tcBorders>
              <w:top w:val="single" w:sz="6" w:color="2E75B6"/>
              <w:bottom w:val="single" w:sz="6" w:color="2E75B6"/>
              <w:left w:val="single" w:sz="6" w:color="2E75B6"/>
              <w:right w:val="single" w:sz="6" w:color="2E75B6"/>
            </w:tcBorders>
            <w:shd w:val="clear" w:color="auto" w:fill="DEEAF1"/>
            <w:tcMar>
              <w:top w:w="100" w:type="dxa"/>
              <w:bottom w:w="100" w:type="dxa"/>
              <w:left w:w="160" w:type="dxa"/>
              <w:right w:w="160" w:type="dxa"/>
            </w:tcMar>
            <w:tcW w:w="9360" w:type="dxa"/>
          </w:tcPr>
          <w:p>
            <w:pPr>
              <w:spacing w:before="0" w:after="80"/>
            </w:pPr>
            <w:r>
              <w:rPr>
                <w:rFonts w:ascii="Arial" w:hAnsi="Arial"/>
                <w:sz w:val="20"/>
                <w:b/>
              </w:rPr>
              <w:t xml:space="preserve">Script Quick Reference</w:t>
            </w:r>
          </w:p>
          <w:p>
            <w:pPr>
              <w:spacing w:before="0" w:after="40"/>
            </w:pPr>
            <w:r>
              <w:rPr>
                <w:rFonts w:ascii="Courier New" w:hAnsi="Courier New"/>
                <w:sz w:val="18"/>
              </w:rPr>
              <w:t xml:space="preserve">Stage 1: ./1-qchem-init-opt.sh [--method --basis --disp --cpus] TAG</w:t>
            </w:r>
          </w:p>
          <w:p>
            <w:pPr>
              <w:spacing w:before="0" w:after="40"/>
            </w:pPr>
            <w:r>
              <w:rPr>
                <w:rFonts w:ascii="Courier New" w:hAnsi="Courier New"/>
                <w:sz w:val="18"/>
              </w:rPr>
              <w:t xml:space="preserve">Stage 2: ./2-qchem-conf-search.sh [--ecut --conf] TAG</w:t>
            </w:r>
          </w:p>
          <w:p>
            <w:pPr>
              <w:spacing w:before="0" w:after="40"/>
            </w:pPr>
            <w:r>
              <w:rPr>
                <w:rFonts w:ascii="Courier New" w:hAnsi="Courier New"/>
                <w:sz w:val="18"/>
              </w:rPr>
              <w:t xml:space="preserve">Stage 3: ./3-qchem-conf-split.sh TAG</w:t>
            </w:r>
          </w:p>
          <w:p>
            <w:pPr>
              <w:spacing w:before="0" w:after="40"/>
            </w:pPr>
            <w:r>
              <w:rPr>
                <w:rFonts w:ascii="Courier New" w:hAnsi="Courier New"/>
                <w:sz w:val="18"/>
              </w:rPr>
              <w:t xml:space="preserve">Stage 4: ./4-qchem-solvent-opt.sh [--method --basis --solvent --cpus] TAG</w:t>
            </w:r>
          </w:p>
          <w:p>
            <w:pPr>
              <w:spacing w:before="0" w:after="40"/>
            </w:pPr>
            <w:r>
              <w:rPr>
                <w:rFonts w:ascii="Courier New" w:hAnsi="Courier New"/>
                <w:sz w:val="18"/>
              </w:rPr>
              <w:t xml:space="preserve">Stage 5: ./5-qchem-boltzmann-weight.sh [--temp --p-cut] TAG</w:t>
            </w:r>
          </w:p>
          <w:p>
            <w:pPr>
              <w:spacing w:before="0" w:after="40"/>
            </w:pPr>
            <w:r>
              <w:rPr>
                <w:rFonts w:ascii="Courier New" w:hAnsi="Courier New"/>
                <w:sz w:val="18"/>
              </w:rPr>
              <w:t xml:space="preserve">Stage 6: ./6-qchem-tddft.sh [--method --basis --roots --solvent --cpus] TAG</w:t>
            </w:r>
          </w:p>
          <w:p>
            <w:pPr>
              <w:spacing w:before="0" w:after="40"/>
            </w:pPr>
            <w:r>
              <w:rPr>
                <w:rFonts w:ascii="Courier New" w:hAnsi="Courier New"/>
                <w:sz w:val="18"/>
              </w:rPr>
              <w:t xml:space="preserve">Plot:    python3 qc_ecd_uvvis_tools.py dmabn/05_tddft \</w:t>
            </w:r>
          </w:p>
          <w:p>
            <w:pPr>
              <w:spacing w:before="0" w:after="40"/>
            </w:pPr>
            <w:r>
              <w:rPr>
                <w:rFonts w:ascii="Courier New" w:hAnsi="Courier New"/>
                <w:sz w:val="18"/>
              </w:rPr>
              <w:t xml:space="preserve">           --bw dmabn/04_boltzmann/dmabn_energies.dat \</w:t>
            </w:r>
          </w:p>
          <w:p>
            <w:pPr>
              <w:spacing w:before="0" w:after="40"/>
            </w:pPr>
            <w:r>
              <w:rPr>
                <w:rFonts w:ascii="Courier New" w:hAnsi="Courier New"/>
                <w:sz w:val="18"/>
              </w:rPr>
              <w:t xml:space="preserve">           --outdir dmabn --stick --xlim 220 450</w:t>
            </w:r>
          </w:p>
          <w:p>
            <w:pPr>
              <w:spacing w:before="0" w:after="40"/>
            </w:pPr>
            <w:r>
              <w:rPr>
                <w:rFonts w:ascii="Courier New" w:hAnsi="Courier New"/>
                <w:sz w:val="18"/>
              </w:rPr>
              <w:t xml:space="preserve"/>
            </w:r>
          </w:p>
          <w:p>
            <w:pPr>
              <w:spacing w:before="0" w:after="40"/>
            </w:pPr>
            <w:r>
              <w:rPr>
                <w:rFonts w:ascii="Courier New" w:hAnsi="Courier New"/>
                <w:sz w:val="18"/>
              </w:rPr>
              <w:t xml:space="preserve">Output files:  dmabn/06_spectra/dmabn_uvvis.png/.pdf/.csv</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