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1F266F" w:rsidRDefault="00A72EAC" w:rsidP="007D7233">
                  <w:pPr>
                    <w:pStyle w:val="Numrodaffaire"/>
                    <w:framePr w:w="10206" w:h="57" w:wrap="notBeside" w:xAlign="center" w:anchorLock="1"/>
                    <w:rPr>
                      <w:rFonts w:ascii="Arial" w:hAnsi="Arial" w:cs="Arial"/>
                      <w:lang w:val="en-US"/>
                    </w:rPr>
                  </w:pPr>
                  <w:r w:rsidRPr="001F266F">
                    <w:rPr>
                      <w:rFonts w:ascii="Arial" w:hAnsi="Arial" w:cs="Arial"/>
                      <w:lang w:val="en-US"/>
                    </w:rPr>
                    <w:t xml:space="preserve">Nº </w:t>
                  </w:r>
                  <w:proofErr w:type="gramStart"/>
                  <w:r w:rsidRPr="001F266F">
                    <w:rPr>
                      <w:rFonts w:ascii="Arial" w:hAnsi="Arial" w:cs="Arial"/>
                      <w:lang w:val="en-US"/>
                    </w:rPr>
                    <w:t>d’affaire :</w:t>
                  </w:r>
                  <w:proofErr w:type="gramEnd"/>
                  <w:r w:rsidRPr="001F266F">
                    <w:rPr>
                      <w:rFonts w:ascii="Arial" w:hAnsi="Arial" w:cs="Arial"/>
                      <w:lang w:val="en-US"/>
                    </w:rPr>
                    <w:t xml:space="preserve"> </w:t>
                  </w:r>
                  <w:r w:rsidR="005A3C4F" w:rsidRPr="001F266F">
                    <w:rPr>
                      <w:rFonts w:ascii="Arial" w:hAnsi="Arial" w:cs="Arial"/>
                      <w:lang w:val="en-US"/>
                    </w:rPr>
                    <w:t>${CASEREF}</w:t>
                  </w:r>
                </w:p>
                <w:p w:rsidR="00A72EAC" w:rsidRPr="001F266F" w:rsidRDefault="00A72EAC" w:rsidP="007D7233">
                  <w:pPr>
                    <w:pStyle w:val="Dsignation"/>
                    <w:framePr w:w="10206" w:h="57" w:wrap="notBeside" w:xAlign="center" w:anchorLock="1"/>
                    <w:rPr>
                      <w:rFonts w:ascii="Arial" w:hAnsi="Arial" w:cs="Arial"/>
                      <w:b/>
                      <w:sz w:val="19"/>
                      <w:szCs w:val="19"/>
                      <w:lang w:val="en-US"/>
                    </w:rPr>
                  </w:pPr>
                  <w:proofErr w:type="gramStart"/>
                  <w:r w:rsidRPr="001F266F">
                    <w:rPr>
                      <w:rFonts w:ascii="Arial" w:hAnsi="Arial" w:cs="Arial"/>
                      <w:b/>
                      <w:sz w:val="19"/>
                      <w:szCs w:val="19"/>
                      <w:lang w:val="en-US"/>
                    </w:rPr>
                    <w:t>Désignation</w:t>
                  </w:r>
                  <w:r w:rsidRPr="001F266F">
                    <w:rPr>
                      <w:rFonts w:ascii="Arial" w:hAnsi="Arial" w:cs="Arial"/>
                      <w:lang w:val="en-US"/>
                    </w:rPr>
                    <w:t xml:space="preserve"> </w:t>
                  </w:r>
                  <w:r w:rsidRPr="001F266F">
                    <w:rPr>
                      <w:rFonts w:ascii="Arial" w:hAnsi="Arial" w:cs="Arial"/>
                      <w:b/>
                      <w:sz w:val="19"/>
                      <w:szCs w:val="19"/>
                      <w:lang w:val="en-US"/>
                    </w:rPr>
                    <w:t>:</w:t>
                  </w:r>
                  <w:proofErr w:type="gramEnd"/>
                  <w:r w:rsidRPr="001F266F">
                    <w:rPr>
                      <w:rFonts w:ascii="Arial" w:hAnsi="Arial" w:cs="Arial"/>
                      <w:b/>
                      <w:sz w:val="19"/>
                      <w:szCs w:val="19"/>
                      <w:lang w:val="en-US"/>
                    </w:rPr>
                    <w:t xml:space="preserve"> </w:t>
                  </w:r>
                  <w:r w:rsidR="00262F44" w:rsidRPr="001F266F">
                    <w:rPr>
                      <w:rFonts w:ascii="Arial" w:hAnsi="Arial" w:cs="Arial"/>
                      <w:b/>
                      <w:sz w:val="19"/>
                      <w:szCs w:val="19"/>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bookmarkStart w:id="0" w:name="_GoBack"/>
                        <w:r w:rsidRPr="00D3548F">
                          <w:rPr>
                            <w:rFonts w:ascii="Arial" w:hAnsi="Arial" w:cs="Arial"/>
                          </w:rPr>
                          <w:t xml:space="preserve">SOCOTEC </w:t>
                        </w:r>
                        <w:r w:rsidR="001F266F">
                          <w:rPr>
                            <w:rFonts w:ascii="Arial" w:hAnsi="Arial" w:cs="Arial"/>
                          </w:rPr>
                          <w:t>CONSTRUCTION</w:t>
                        </w:r>
                        <w:r w:rsidRPr="00D3548F">
                          <w:rPr>
                            <w:rFonts w:ascii="Arial" w:hAnsi="Arial" w:cs="Arial"/>
                          </w:rPr>
                          <w:t xml:space="preserve"> - S.A.</w:t>
                        </w:r>
                        <w:r w:rsidR="001F266F">
                          <w:rPr>
                            <w:rFonts w:ascii="Arial" w:hAnsi="Arial" w:cs="Arial"/>
                          </w:rPr>
                          <w:t>S</w:t>
                        </w:r>
                        <w:r w:rsidRPr="00D3548F">
                          <w:rPr>
                            <w:rFonts w:ascii="Arial" w:hAnsi="Arial" w:cs="Arial"/>
                          </w:rPr>
                          <w:t xml:space="preserve"> au capital de 1</w:t>
                        </w:r>
                        <w:r w:rsidR="001F266F">
                          <w:rPr>
                            <w:rFonts w:ascii="Arial" w:hAnsi="Arial" w:cs="Arial"/>
                          </w:rPr>
                          <w:t>0 000 1</w:t>
                        </w:r>
                        <w:r w:rsidRPr="00D3548F">
                          <w:rPr>
                            <w:rFonts w:ascii="Arial" w:hAnsi="Arial" w:cs="Arial"/>
                          </w:rPr>
                          <w:t>0</w:t>
                        </w:r>
                        <w:r w:rsidR="001F266F">
                          <w:rPr>
                            <w:rFonts w:ascii="Arial" w:hAnsi="Arial" w:cs="Arial"/>
                          </w:rPr>
                          <w:t>0</w:t>
                        </w:r>
                        <w:r w:rsidRPr="00D3548F">
                          <w:rPr>
                            <w:rFonts w:ascii="Arial" w:hAnsi="Arial" w:cs="Arial"/>
                          </w:rPr>
                          <w:t xml:space="preserve"> euros </w:t>
                        </w:r>
                        <w:r w:rsidR="001F266F">
                          <w:rPr>
                            <w:rFonts w:ascii="Arial" w:hAnsi="Arial" w:cs="Arial"/>
                          </w:rPr>
                          <w:t>–</w:t>
                        </w:r>
                        <w:r w:rsidRPr="00D3548F">
                          <w:rPr>
                            <w:rFonts w:ascii="Arial" w:hAnsi="Arial" w:cs="Arial"/>
                          </w:rPr>
                          <w:t xml:space="preserve"> </w:t>
                        </w:r>
                        <w:r w:rsidR="001F266F">
                          <w:rPr>
                            <w:rFonts w:ascii="Arial" w:hAnsi="Arial" w:cs="Arial"/>
                          </w:rPr>
                          <w:t>834 157 513 RCS Versailles</w:t>
                        </w:r>
                        <w:r w:rsidRPr="00D3548F">
                          <w:rPr>
                            <w:rFonts w:ascii="Arial" w:hAnsi="Arial" w:cs="Arial"/>
                          </w:rPr>
                          <w:br/>
                        </w:r>
                        <w:r w:rsidR="001F266F">
                          <w:rPr>
                            <w:rFonts w:ascii="Arial" w:hAnsi="Arial" w:cs="Arial"/>
                          </w:rPr>
                          <w:t xml:space="preserve">Siège social : Mirabeau – 5 Place des frères </w:t>
                        </w:r>
                        <w:proofErr w:type="spellStart"/>
                        <w:r w:rsidR="001F266F">
                          <w:rPr>
                            <w:rFonts w:ascii="Arial" w:hAnsi="Arial" w:cs="Arial"/>
                          </w:rPr>
                          <w:t>Mongolfier</w:t>
                        </w:r>
                        <w:proofErr w:type="spellEnd"/>
                        <w:r w:rsidR="001F266F">
                          <w:rPr>
                            <w:rFonts w:ascii="Arial" w:hAnsi="Arial" w:cs="Arial"/>
                          </w:rPr>
                          <w:t xml:space="preserve"> </w:t>
                        </w:r>
                        <w:r w:rsidRPr="00D3548F">
                          <w:rPr>
                            <w:rFonts w:ascii="Arial" w:hAnsi="Arial" w:cs="Arial"/>
                          </w:rPr>
                          <w:t xml:space="preserve">- CS 20732 - Guyancourt </w:t>
                        </w:r>
                        <w:r w:rsidR="001F266F">
                          <w:rPr>
                            <w:rFonts w:ascii="Arial" w:hAnsi="Arial" w:cs="Arial"/>
                          </w:rPr>
                          <w:br/>
                        </w:r>
                        <w:r w:rsidRPr="00D3548F">
                          <w:rPr>
                            <w:rFonts w:ascii="Arial" w:hAnsi="Arial" w:cs="Arial"/>
                          </w:rPr>
                          <w:t xml:space="preserve">78182 St-Quentin-en-Yvelines Cedex - FRANCE - </w:t>
                        </w:r>
                        <w:hyperlink r:id="rId9" w:history="1">
                          <w:r w:rsidRPr="00D3548F">
                            <w:rPr>
                              <w:rFonts w:ascii="Arial" w:hAnsi="Arial" w:cs="Arial"/>
                            </w:rPr>
                            <w:t>www.socotec.fr</w:t>
                          </w:r>
                        </w:hyperlink>
                        <w:bookmarkEnd w:id="0"/>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00997">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00997">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C00997">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C00997">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C00997">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C00997">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C00997">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C00997">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C00997">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8815426"/>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8815427"/>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8815428"/>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8815429"/>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8815430"/>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8815431"/>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8815432"/>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8815433"/>
      <w:r>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DB29D8" w:rsidRDefault="00753152" w:rsidP="00DB29D8">
      <w:pPr>
        <w:pStyle w:val="Titre4"/>
      </w:pPr>
      <w:bookmarkStart w:id="20" w:name="_Toc397518789"/>
      <w:r w:rsidRPr="00DB29D8">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0"/>
      <w:r w:rsidRPr="00753152">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2" w:name="_Toc397518791"/>
      <w:r w:rsidRPr="00753152">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DB29D8">
      <w:pPr>
        <w:pStyle w:val="Titre4"/>
      </w:pPr>
      <w:r w:rsidRPr="005121E5">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DB29D8">
      <w:pPr>
        <w:pStyle w:val="Titre4"/>
      </w:pPr>
      <w:bookmarkStart w:id="37" w:name="_Toc397518799"/>
      <w:r w:rsidRPr="005121E5">
        <w:t>Niveau du bruit des appareils individuels de chauffage, de climatisation et de production d’eau chaude sanitaire intérieurs au logement contrôlé</w:t>
      </w:r>
      <w:bookmarkEnd w:id="37"/>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8" w:name="_Toc397518800"/>
      <w:r w:rsidRPr="005121E5">
        <w:t>Niveau du bruit de l’installation de ventilation mécanique contrôlée (VMC)</w:t>
      </w:r>
      <w:bookmarkEnd w:id="38"/>
    </w:p>
    <w:p w:rsidR="002E3728" w:rsidRDefault="002E3728" w:rsidP="002E3728">
      <w:pPr>
        <w:pStyle w:val="NT2"/>
        <w:spacing w:before="120" w:after="0"/>
        <w:ind w:left="0"/>
        <w:jc w:val="both"/>
      </w:pPr>
      <w:r>
        <w:t>${BEVMCAPPREC}</w:t>
      </w:r>
    </w:p>
    <w:p w:rsidR="009123C8" w:rsidRPr="00C22FDB" w:rsidRDefault="009123C8" w:rsidP="002E3728">
      <w:pPr>
        <w:pStyle w:val="NT2"/>
        <w:spacing w:before="120" w:after="0"/>
        <w:ind w:left="0"/>
        <w:jc w:val="both"/>
      </w:pPr>
    </w:p>
    <w:p w:rsidR="009123C8" w:rsidRPr="00753152" w:rsidRDefault="009123C8" w:rsidP="009123C8">
      <w:pPr>
        <w:pStyle w:val="Titre4"/>
      </w:pPr>
      <w:r w:rsidRPr="00753152">
        <w:t>Niveau du bruit des équipements individuels extérieurs au logement contrôlé</w:t>
      </w:r>
    </w:p>
    <w:p w:rsidR="009123C8" w:rsidRDefault="009123C8" w:rsidP="009123C8">
      <w:pPr>
        <w:pStyle w:val="NT2"/>
        <w:spacing w:before="120" w:after="0"/>
        <w:ind w:left="0"/>
        <w:jc w:val="both"/>
      </w:pPr>
      <w:r>
        <w:t>${</w:t>
      </w:r>
      <w:r w:rsidR="00C35B82">
        <w:rPr>
          <w:color w:val="000000"/>
        </w:rPr>
        <w:t>BEIEL</w:t>
      </w:r>
      <w:r>
        <w:rPr>
          <w:color w:val="000000"/>
        </w:rPr>
        <w:t>APPREC</w:t>
      </w:r>
      <w:r>
        <w:t>}</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9" w:name="_Toc397518802"/>
      <w:r w:rsidRPr="00FC7886">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Pr="00883FCA" w:rsidRDefault="00883FCA" w:rsidP="0022130D">
      <w:pPr>
        <w:pStyle w:val="NT3"/>
        <w:tabs>
          <w:tab w:val="left" w:pos="5670"/>
          <w:tab w:val="left" w:pos="7230"/>
        </w:tabs>
        <w:ind w:left="0"/>
        <w:jc w:val="both"/>
        <w:rPr>
          <w:b/>
          <w:color w:val="FF0000"/>
        </w:rPr>
      </w:pPr>
      <w:r w:rsidRPr="00883FCA">
        <w:rPr>
          <w:rFonts w:cstheme="minorHAnsi"/>
          <w:b/>
          <w:color w:val="FF0000"/>
          <w:highlight w:val="lightGray"/>
        </w:rPr>
        <w:t>${SONOMANDATORY}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r w:rsidR="00883FCA" w:rsidRPr="00883FCA">
              <w:rPr>
                <w:rFonts w:cstheme="minorHAnsi"/>
                <w:b/>
                <w:color w:val="FF0000"/>
                <w:highlight w:val="lightGray"/>
              </w:rPr>
              <w:t>${</w:t>
            </w:r>
            <w:r w:rsidR="00100D0E">
              <w:rPr>
                <w:rFonts w:cstheme="minorHAnsi"/>
                <w:b/>
                <w:color w:val="FF0000"/>
                <w:highlight w:val="lightGray"/>
              </w:rPr>
              <w:t>NOISE</w:t>
            </w:r>
            <w:r w:rsidR="00883FCA" w:rsidRPr="00883FCA">
              <w:rPr>
                <w:rFonts w:cstheme="minorHAnsi"/>
                <w:b/>
                <w:color w:val="FF0000"/>
                <w:highlight w:val="lightGray"/>
              </w:rPr>
              <w:t>MANDATORY}</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r w:rsidR="00100D0E" w:rsidRPr="00883FCA">
              <w:rPr>
                <w:rFonts w:cstheme="minorHAnsi"/>
                <w:b/>
                <w:color w:val="FF0000"/>
                <w:highlight w:val="lightGray"/>
              </w:rPr>
              <w:t>${</w:t>
            </w:r>
            <w:r w:rsidR="00100D0E">
              <w:rPr>
                <w:rFonts w:cstheme="minorHAnsi"/>
                <w:b/>
                <w:color w:val="FF0000"/>
                <w:highlight w:val="lightGray"/>
              </w:rPr>
              <w:t>MAC</w:t>
            </w:r>
            <w:r w:rsidR="00100D0E" w:rsidRPr="00883FCA">
              <w:rPr>
                <w:rFonts w:cstheme="minorHAnsi"/>
                <w:b/>
                <w:color w:val="FF0000"/>
                <w:highlight w:val="lightGray"/>
              </w:rPr>
              <w:t>MANDATORY}</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${REVTOOL}</w:t>
            </w:r>
            <w:r w:rsidR="00100D0E" w:rsidRPr="00883FCA">
              <w:rPr>
                <w:rFonts w:cstheme="minorHAnsi"/>
                <w:b/>
                <w:color w:val="FF0000"/>
                <w:highlight w:val="lightGray"/>
              </w:rPr>
              <w:t>${</w:t>
            </w:r>
            <w:r w:rsidR="00100D0E">
              <w:rPr>
                <w:rFonts w:cstheme="minorHAnsi"/>
                <w:b/>
                <w:color w:val="FF0000"/>
                <w:highlight w:val="lightGray"/>
              </w:rPr>
              <w:t>REVTOOL</w:t>
            </w:r>
            <w:r w:rsidR="00100D0E" w:rsidRPr="00883FCA">
              <w:rPr>
                <w:rFonts w:cstheme="minorHAnsi"/>
                <w:b/>
                <w:color w:val="FF0000"/>
                <w:highlight w:val="lightGray"/>
              </w:rPr>
              <w:t>MANDATORY}</w:t>
            </w:r>
            <w:r>
              <w:rPr>
                <w:sz w:val="18"/>
                <w:szCs w:val="18"/>
              </w:rPr>
              <w:t xml:space="preserve">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r w:rsidR="00100D0E" w:rsidRPr="00883FCA">
              <w:rPr>
                <w:rFonts w:cstheme="minorHAnsi"/>
                <w:b/>
                <w:color w:val="FF0000"/>
                <w:highlight w:val="lightGray"/>
              </w:rPr>
              <w:t>${SO</w:t>
            </w:r>
            <w:r w:rsidR="00100D0E">
              <w:rPr>
                <w:rFonts w:cstheme="minorHAnsi"/>
                <w:b/>
                <w:color w:val="FF0000"/>
                <w:highlight w:val="lightGray"/>
              </w:rPr>
              <w:t>FT</w:t>
            </w:r>
            <w:r w:rsidR="00100D0E" w:rsidRPr="00883FCA">
              <w:rPr>
                <w:rFonts w:cstheme="minorHAnsi"/>
                <w:b/>
                <w:color w:val="FF0000"/>
                <w:highlight w:val="lightGray"/>
              </w:rPr>
              <w:t>MANDATORY}</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883FCA">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Pr="001E1B88" w:rsidRDefault="006D5CAB" w:rsidP="001E1B88">
      <w:pPr>
        <w:pStyle w:val="Retraitcorpsdetexte"/>
        <w:tabs>
          <w:tab w:val="clear" w:pos="3544"/>
          <w:tab w:val="clear" w:pos="4678"/>
          <w:tab w:val="clear" w:pos="6237"/>
        </w:tabs>
        <w:spacing w:before="40"/>
        <w:ind w:left="0" w:right="566"/>
        <w:jc w:val="both"/>
        <w:rPr>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w:t>
            </w:r>
            <w:r w:rsidRPr="002059DC">
              <w:rPr>
                <w:rFonts w:ascii="Arial" w:hAnsi="Arial" w:cs="Arial"/>
                <w:b/>
                <w:bCs/>
                <w:sz w:val="13"/>
                <w:szCs w:val="13"/>
                <w:vertAlign w:val="subscript"/>
              </w:rPr>
              <w:t>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color w:val="0082DE" w:themeColor="accent2"/>
                <w:sz w:val="18"/>
                <w:szCs w:val="18"/>
              </w:rPr>
            </w:pPr>
            <w:r w:rsidRPr="00C26B0D">
              <w:rPr>
                <w:rFonts w:ascii="Arial" w:hAnsi="Arial" w:cs="Arial"/>
                <w:b/>
                <w:bCs/>
                <w:color w:val="0082DE" w:themeColor="accent2"/>
                <w:sz w:val="18"/>
                <w:szCs w:val="18"/>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sz w:val="18"/>
                <w:szCs w:val="18"/>
              </w:rPr>
            </w:pPr>
            <w:r w:rsidRPr="00C26B0D">
              <w:rPr>
                <w:rFonts w:ascii="Arial" w:hAnsi="Arial" w:cs="Arial"/>
                <w:b/>
                <w:bCs/>
                <w:sz w:val="18"/>
                <w:szCs w:val="18"/>
              </w:rPr>
              <w:t>${</w:t>
            </w:r>
            <w:proofErr w:type="spellStart"/>
            <w:r w:rsidRPr="00C26B0D">
              <w:rPr>
                <w:rFonts w:ascii="Arial" w:hAnsi="Arial" w:cs="Arial"/>
                <w:b/>
                <w:bCs/>
                <w:sz w:val="18"/>
                <w:szCs w:val="18"/>
              </w:rPr>
              <w:t>AObj</w:t>
            </w:r>
            <w:proofErr w:type="spellEnd"/>
            <w:r w:rsidRPr="00C26B0D">
              <w:rPr>
                <w:rFonts w:ascii="Arial" w:hAnsi="Arial" w:cs="Arial"/>
                <w:b/>
                <w:bCs/>
                <w:sz w:val="18"/>
                <w:szCs w:val="18"/>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w:t>
            </w:r>
            <w:proofErr w:type="gramStart"/>
            <w:r w:rsidRPr="0026168B">
              <w:rPr>
                <w:rFonts w:ascii="Arial" w:hAnsi="Arial" w:cs="Arial"/>
                <w:b/>
                <w:bCs/>
                <w:color w:val="0082DE" w:themeColor="accent2"/>
                <w:sz w:val="18"/>
                <w:szCs w:val="18"/>
                <w:u w:color="000000"/>
              </w:rPr>
              <w:t>1999}</w:t>
            </w:r>
            <w:r w:rsidRPr="00A9317B">
              <w:rPr>
                <w:rFonts w:ascii="Arial" w:hAnsi="Arial" w:cs="Arial"/>
                <w:b/>
                <w:bCs/>
                <w:color w:val="FF0000"/>
                <w:sz w:val="18"/>
                <w:szCs w:val="18"/>
                <w:u w:color="000000"/>
              </w:rPr>
              <w:t>$</w:t>
            </w:r>
            <w:proofErr w:type="gramEnd"/>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E01F0">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w:t>
            </w:r>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w:t>
            </w:r>
            <w:proofErr w:type="gramStart"/>
            <w:r w:rsidRPr="00347DBF">
              <w:rPr>
                <w:rFonts w:ascii="Arial" w:hAnsi="Arial" w:cs="Arial"/>
                <w:b/>
                <w:bCs/>
                <w:color w:val="0082DE" w:themeColor="accent2"/>
                <w:sz w:val="18"/>
                <w:szCs w:val="18"/>
              </w:rPr>
              <w:t>1999}</w:t>
            </w:r>
            <w:r w:rsidRPr="00A9317B">
              <w:rPr>
                <w:rFonts w:ascii="Arial" w:hAnsi="Arial" w:cs="Arial"/>
                <w:b/>
                <w:bCs/>
                <w:color w:val="FF0000"/>
                <w:sz w:val="18"/>
                <w:szCs w:val="18"/>
              </w:rPr>
              <w:t>$</w:t>
            </w:r>
            <w:proofErr w:type="gramEnd"/>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w:t>
            </w:r>
            <w:r w:rsidRPr="002059DC">
              <w:rPr>
                <w:rFonts w:ascii="Arial" w:hAnsi="Arial" w:cs="Arial"/>
                <w:bCs/>
                <w:sz w:val="11"/>
                <w:szCs w:val="13"/>
                <w:vertAlign w:val="subscript"/>
              </w:rPr>
              <w:t>nT,A</w:t>
            </w:r>
            <w:proofErr w:type="gramEnd"/>
            <w:r w:rsidRPr="002059DC">
              <w:rPr>
                <w:rFonts w:ascii="Arial" w:hAnsi="Arial" w:cs="Arial"/>
                <w:bCs/>
                <w:sz w:val="11"/>
                <w:szCs w:val="13"/>
                <w:vertAlign w:val="subscript"/>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2059DC">
              <w:rPr>
                <w:rFonts w:ascii="Arial" w:hAnsi="Arial" w:cs="Arial"/>
                <w:b/>
                <w:bCs/>
                <w:sz w:val="13"/>
                <w:szCs w:val="13"/>
                <w:vertAlign w:val="subscript"/>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w:t>
            </w:r>
            <w:proofErr w:type="gramStart"/>
            <w:r w:rsidRPr="00347DBF">
              <w:rPr>
                <w:rFonts w:ascii="Arial" w:hAnsi="Arial" w:cs="Arial"/>
                <w:b/>
                <w:bCs/>
                <w:color w:val="0082DE" w:themeColor="accent2"/>
                <w:sz w:val="18"/>
                <w:szCs w:val="18"/>
              </w:rPr>
              <w:t>1999}</w:t>
            </w:r>
            <w:r w:rsidR="00A9317B" w:rsidRPr="00A9317B">
              <w:rPr>
                <w:rFonts w:ascii="Arial" w:hAnsi="Arial" w:cs="Arial"/>
                <w:b/>
                <w:bCs/>
                <w:color w:val="FF0000"/>
                <w:sz w:val="18"/>
                <w:szCs w:val="18"/>
              </w:rPr>
              <w:t>$</w:t>
            </w:r>
            <w:proofErr w:type="gramEnd"/>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2059DC">
              <w:rPr>
                <w:rFonts w:ascii="Arial" w:hAnsi="Arial" w:cs="Arial"/>
                <w:bCs/>
                <w:sz w:val="11"/>
                <w:szCs w:val="13"/>
                <w:vertAlign w:val="subscript"/>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w:t>
            </w:r>
            <w:r w:rsidRPr="002059DC">
              <w:rPr>
                <w:b/>
                <w:vertAlign w:val="subscript"/>
              </w:rPr>
              <w:t>nA,T</w:t>
            </w:r>
            <w:proofErr w:type="spellEnd"/>
            <w:proofErr w:type="gramEnd"/>
            <w:r w:rsidRPr="002059DC">
              <w:rPr>
                <w:b/>
                <w:vertAlign w:val="subscript"/>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w:t>
            </w:r>
            <w:r w:rsidRPr="002059DC">
              <w:rPr>
                <w:vertAlign w:val="subscript"/>
              </w:rPr>
              <w:t>nA,T</w:t>
            </w:r>
            <w:proofErr w:type="spellEnd"/>
            <w:proofErr w:type="gramEnd"/>
            <w:r w:rsidRPr="002059DC">
              <w:rPr>
                <w:vertAlign w:val="subscript"/>
              </w:rPr>
              <w:t xml:space="preserve"> </w:t>
            </w:r>
            <w:r>
              <w:t xml:space="preserve">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t>
            </w:r>
            <w:proofErr w:type="gramStart"/>
            <w:r w:rsidRPr="00347DBF">
              <w:rPr>
                <w:b/>
                <w:color w:val="0082DE" w:themeColor="accent2"/>
                <w:sz w:val="13"/>
                <w:szCs w:val="13"/>
              </w:rPr>
              <w:t>W}</w:t>
            </w:r>
            <w:r w:rsidRPr="005A0CA4">
              <w:rPr>
                <w:b/>
                <w:color w:val="FF0000"/>
                <w:sz w:val="13"/>
                <w:szCs w:val="13"/>
              </w:rPr>
              <w:t>$</w:t>
            </w:r>
            <w:proofErr w:type="gramEnd"/>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t>
            </w:r>
            <w:proofErr w:type="gramStart"/>
            <w:r w:rsidRPr="00347DBF">
              <w:rPr>
                <w:b/>
                <w:color w:val="0082DE" w:themeColor="accent2"/>
                <w:sz w:val="15"/>
                <w:szCs w:val="15"/>
              </w:rPr>
              <w:t>W}</w:t>
            </w:r>
            <w:r w:rsidRPr="005A0CA4">
              <w:rPr>
                <w:b/>
                <w:color w:val="FF0000"/>
                <w:sz w:val="15"/>
                <w:szCs w:val="15"/>
              </w:rPr>
              <w:t>$</w:t>
            </w:r>
            <w:proofErr w:type="gramEnd"/>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w:t>
            </w:r>
            <w:proofErr w:type="gramStart"/>
            <w:r w:rsidRPr="00E36CF9">
              <w:rPr>
                <w:b/>
                <w:color w:val="0082DE" w:themeColor="accent2"/>
                <w:sz w:val="15"/>
                <w:szCs w:val="15"/>
              </w:rPr>
              <w:t>11}</w:t>
            </w:r>
            <w:r w:rsidRPr="00B821FA">
              <w:rPr>
                <w:b/>
                <w:color w:val="FF0000"/>
                <w:sz w:val="15"/>
                <w:szCs w:val="15"/>
              </w:rPr>
              <w:t>$</w:t>
            </w:r>
            <w:proofErr w:type="gramEnd"/>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6"/>
          <w:footerReference w:type="default" r:id="rId17"/>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C225D2" w:rsidRDefault="00C225D2">
      <w:pPr>
        <w:rPr>
          <w:b/>
          <w:bCs/>
          <w:color w:val="FF0000"/>
          <w:sz w:val="22"/>
          <w:szCs w:val="22"/>
        </w:rPr>
      </w:pPr>
      <w:r>
        <w:rPr>
          <w:b/>
          <w:bCs/>
          <w:color w:val="FF0000"/>
          <w:sz w:val="22"/>
          <w:szCs w:val="22"/>
        </w:rPr>
        <w:br w:type="page"/>
      </w: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18"/>
      <w:footerReference w:type="first" r:id="rId19"/>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997" w:rsidRDefault="00C00997" w:rsidP="00F51D4C">
      <w:r>
        <w:separator/>
      </w:r>
    </w:p>
  </w:endnote>
  <w:endnote w:type="continuationSeparator" w:id="0">
    <w:p w:rsidR="00C00997" w:rsidRDefault="00C00997"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1E1B88" w:rsidTr="0074197A">
      <w:trPr>
        <w:trHeight w:val="266"/>
      </w:trPr>
      <w:tc>
        <w:tcPr>
          <w:tcW w:w="4163" w:type="dxa"/>
        </w:tcPr>
        <w:p w:rsidR="001E1B88" w:rsidRDefault="001E1B88" w:rsidP="00D3548F">
          <w:pPr>
            <w:pStyle w:val="Pieddepage"/>
            <w:spacing w:before="80" w:after="40"/>
            <w:ind w:right="357"/>
          </w:pPr>
          <w:r>
            <w:t>N° de dossier : ${CASEREF}</w:t>
          </w:r>
        </w:p>
      </w:tc>
      <w:tc>
        <w:tcPr>
          <w:tcW w:w="160" w:type="dxa"/>
        </w:tcPr>
        <w:p w:rsidR="001E1B88" w:rsidRDefault="001E1B88" w:rsidP="00D3548F">
          <w:pPr>
            <w:pStyle w:val="Pieddepage"/>
            <w:spacing w:before="80"/>
            <w:ind w:right="360"/>
          </w:pPr>
        </w:p>
      </w:tc>
      <w:tc>
        <w:tcPr>
          <w:tcW w:w="4536" w:type="dxa"/>
        </w:tcPr>
        <w:p w:rsidR="001E1B88" w:rsidRDefault="001E1B88" w:rsidP="00D3548F">
          <w:pPr>
            <w:pStyle w:val="Pieddepage"/>
            <w:spacing w:before="80"/>
            <w:rPr>
              <w:rStyle w:val="Numrodepage"/>
            </w:rPr>
          </w:pPr>
          <w:r>
            <w:t>N° de rapport : ${REPORTREF}</w:t>
          </w:r>
        </w:p>
      </w:tc>
      <w:tc>
        <w:tcPr>
          <w:tcW w:w="6450" w:type="dxa"/>
        </w:tcPr>
        <w:p w:rsidR="001E1B88" w:rsidRPr="00713356" w:rsidRDefault="001E1B88"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1E1B88" w:rsidRDefault="001E1B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E1B88" w:rsidTr="00D3548F">
      <w:trPr>
        <w:trHeight w:val="266"/>
      </w:trPr>
      <w:tc>
        <w:tcPr>
          <w:tcW w:w="4163" w:type="dxa"/>
        </w:tcPr>
        <w:p w:rsidR="001E1B88" w:rsidRDefault="001E1B88" w:rsidP="00325C36">
          <w:pPr>
            <w:pStyle w:val="Pieddepage"/>
            <w:spacing w:before="80" w:after="40"/>
            <w:ind w:right="357"/>
          </w:pPr>
          <w:r>
            <w:t>N° de dossier : ${CASEREF}</w:t>
          </w:r>
        </w:p>
      </w:tc>
      <w:tc>
        <w:tcPr>
          <w:tcW w:w="160" w:type="dxa"/>
        </w:tcPr>
        <w:p w:rsidR="001E1B88" w:rsidRDefault="001E1B88" w:rsidP="00325C36">
          <w:pPr>
            <w:pStyle w:val="Pieddepage"/>
            <w:spacing w:before="80"/>
            <w:ind w:right="360"/>
          </w:pPr>
        </w:p>
      </w:tc>
      <w:tc>
        <w:tcPr>
          <w:tcW w:w="4536" w:type="dxa"/>
        </w:tcPr>
        <w:p w:rsidR="001E1B88" w:rsidRDefault="001E1B88" w:rsidP="00325C36">
          <w:pPr>
            <w:pStyle w:val="Pieddepage"/>
            <w:spacing w:before="80"/>
            <w:rPr>
              <w:rStyle w:val="Numrodepage"/>
            </w:rPr>
          </w:pPr>
          <w:r>
            <w:t>N° de rapport : ${REPORTREF}</w:t>
          </w:r>
        </w:p>
      </w:tc>
      <w:tc>
        <w:tcPr>
          <w:tcW w:w="846" w:type="dxa"/>
        </w:tcPr>
        <w:p w:rsidR="001E1B88" w:rsidRPr="00713356" w:rsidRDefault="001E1B88"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Pr="00C07F73" w:rsidRDefault="001E1B88" w:rsidP="00C07F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p>
  <w:tbl>
    <w:tblPr>
      <w:tblW w:w="15027" w:type="dxa"/>
      <w:tblLayout w:type="fixed"/>
      <w:tblCellMar>
        <w:left w:w="70" w:type="dxa"/>
        <w:right w:w="70" w:type="dxa"/>
      </w:tblCellMar>
      <w:tblLook w:val="0000" w:firstRow="0" w:lastRow="0" w:firstColumn="0" w:lastColumn="0" w:noHBand="0" w:noVBand="0"/>
    </w:tblPr>
    <w:tblGrid>
      <w:gridCol w:w="4962"/>
      <w:gridCol w:w="2409"/>
      <w:gridCol w:w="5316"/>
      <w:gridCol w:w="2340"/>
    </w:tblGrid>
    <w:tr w:rsidR="001E1B88" w:rsidTr="0026517B">
      <w:trPr>
        <w:trHeight w:val="266"/>
      </w:trPr>
      <w:tc>
        <w:tcPr>
          <w:tcW w:w="4962" w:type="dxa"/>
        </w:tcPr>
        <w:p w:rsidR="001E1B88" w:rsidRDefault="001E1B88" w:rsidP="007358BA">
          <w:pPr>
            <w:pStyle w:val="Pieddepage"/>
            <w:spacing w:before="80" w:after="40"/>
            <w:ind w:right="357"/>
          </w:pPr>
          <w:r>
            <w:t>N° de dossier : ${CASEREF}</w:t>
          </w:r>
        </w:p>
      </w:tc>
      <w:tc>
        <w:tcPr>
          <w:tcW w:w="2409" w:type="dxa"/>
        </w:tcPr>
        <w:p w:rsidR="001E1B88" w:rsidRDefault="001E1B88" w:rsidP="007358BA">
          <w:pPr>
            <w:pStyle w:val="Pieddepage"/>
            <w:spacing w:before="80"/>
            <w:ind w:right="360"/>
          </w:pPr>
        </w:p>
      </w:tc>
      <w:tc>
        <w:tcPr>
          <w:tcW w:w="5316" w:type="dxa"/>
        </w:tcPr>
        <w:p w:rsidR="001E1B88" w:rsidRDefault="001E1B88" w:rsidP="007358BA">
          <w:pPr>
            <w:pStyle w:val="Pieddepage"/>
            <w:spacing w:before="80"/>
            <w:rPr>
              <w:rStyle w:val="Numrodepage"/>
            </w:rPr>
          </w:pPr>
          <w:r>
            <w:t>N° de rapport : ${REPORTREF}</w:t>
          </w:r>
        </w:p>
      </w:tc>
      <w:tc>
        <w:tcPr>
          <w:tcW w:w="2340" w:type="dxa"/>
        </w:tcPr>
        <w:p w:rsidR="001E1B88" w:rsidRPr="00713356" w:rsidRDefault="001E1B88"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Default="001E1B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C07F73">
    <w:pPr>
      <w:pStyle w:val="Pieddepage"/>
    </w:pPr>
  </w:p>
  <w:tbl>
    <w:tblPr>
      <w:tblW w:w="9705" w:type="dxa"/>
      <w:tblLayout w:type="fixed"/>
      <w:tblCellMar>
        <w:left w:w="70" w:type="dxa"/>
        <w:right w:w="70" w:type="dxa"/>
      </w:tblCellMar>
      <w:tblLook w:val="0000" w:firstRow="0" w:lastRow="0" w:firstColumn="0" w:lastColumn="0" w:noHBand="0" w:noVBand="0"/>
    </w:tblPr>
    <w:tblGrid>
      <w:gridCol w:w="4163"/>
      <w:gridCol w:w="160"/>
      <w:gridCol w:w="4536"/>
      <w:gridCol w:w="846"/>
    </w:tblGrid>
    <w:tr w:rsidR="001E1B88" w:rsidTr="007358BA">
      <w:trPr>
        <w:trHeight w:val="266"/>
      </w:trPr>
      <w:tc>
        <w:tcPr>
          <w:tcW w:w="4163" w:type="dxa"/>
        </w:tcPr>
        <w:p w:rsidR="001E1B88" w:rsidRDefault="001E1B88" w:rsidP="007358BA">
          <w:pPr>
            <w:pStyle w:val="Pieddepage"/>
            <w:spacing w:before="80" w:after="40"/>
            <w:ind w:right="357"/>
          </w:pPr>
          <w:r>
            <w:t>N° de dossier : ${CASEREF}</w:t>
          </w:r>
        </w:p>
      </w:tc>
      <w:tc>
        <w:tcPr>
          <w:tcW w:w="160" w:type="dxa"/>
        </w:tcPr>
        <w:p w:rsidR="001E1B88" w:rsidRDefault="001E1B88" w:rsidP="007358BA">
          <w:pPr>
            <w:pStyle w:val="Pieddepage"/>
            <w:spacing w:before="80"/>
            <w:ind w:right="360"/>
          </w:pPr>
        </w:p>
      </w:tc>
      <w:tc>
        <w:tcPr>
          <w:tcW w:w="4536" w:type="dxa"/>
        </w:tcPr>
        <w:p w:rsidR="001E1B88" w:rsidRDefault="001E1B88" w:rsidP="007358BA">
          <w:pPr>
            <w:pStyle w:val="Pieddepage"/>
            <w:spacing w:before="80"/>
            <w:rPr>
              <w:rStyle w:val="Numrodepage"/>
            </w:rPr>
          </w:pPr>
          <w:r>
            <w:t>N° de rapport : ${REPORTREF}</w:t>
          </w:r>
        </w:p>
      </w:tc>
      <w:tc>
        <w:tcPr>
          <w:tcW w:w="846" w:type="dxa"/>
        </w:tcPr>
        <w:p w:rsidR="001E1B88" w:rsidRPr="00713356" w:rsidRDefault="001E1B88"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Default="001E1B88" w:rsidP="00C07F73">
    <w:pPr>
      <w:pStyle w:val="Pieddepage"/>
    </w:pPr>
  </w:p>
  <w:p w:rsidR="001E1B88" w:rsidRPr="00C07F73" w:rsidRDefault="001E1B8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997" w:rsidRDefault="00C00997" w:rsidP="00F51D4C">
      <w:r>
        <w:separator/>
      </w:r>
    </w:p>
  </w:footnote>
  <w:footnote w:type="continuationSeparator" w:id="0">
    <w:p w:rsidR="00C00997" w:rsidRDefault="00C00997"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1E1B88" w:rsidTr="007D7233">
      <w:tc>
        <w:tcPr>
          <w:tcW w:w="10204" w:type="dxa"/>
          <w:gridSpan w:val="3"/>
        </w:tcPr>
        <w:p w:rsidR="001E1B88" w:rsidRPr="00447CF5" w:rsidRDefault="001E1B88" w:rsidP="00447CF5"/>
      </w:tc>
    </w:tr>
    <w:tr w:rsidR="001E1B88" w:rsidTr="00447CF5">
      <w:tc>
        <w:tcPr>
          <w:tcW w:w="8643" w:type="dxa"/>
        </w:tcPr>
        <w:p w:rsidR="001E1B88" w:rsidRDefault="001E1B8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1E1B88" w:rsidRDefault="001E1B8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1E1B88" w:rsidRPr="000D6C38" w:rsidRDefault="001E1B8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1E1B88" w:rsidRPr="000D6C38" w:rsidRDefault="001E1B88" w:rsidP="00447CF5"/>
      </w:tc>
      <w:tc>
        <w:tcPr>
          <w:tcW w:w="1277" w:type="dxa"/>
          <w:vAlign w:val="bottom"/>
        </w:tcPr>
        <w:p w:rsidR="001E1B88" w:rsidRPr="00E83865" w:rsidRDefault="001E1B8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12</w:t>
          </w:r>
          <w:r>
            <w:rPr>
              <w:noProof/>
            </w:rPr>
            <w:fldChar w:fldCharType="end"/>
          </w:r>
        </w:p>
      </w:tc>
    </w:tr>
  </w:tbl>
  <w:p w:rsidR="001E1B88" w:rsidRDefault="001E1B88"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1E1B88" w:rsidRPr="007004A4" w:rsidRDefault="001E1B88">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1E1B88" w:rsidRPr="007004A4" w:rsidRDefault="001E1B88">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p>
  <w:p w:rsidR="001E1B88" w:rsidRDefault="001E1B8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r>
      <w:rPr>
        <w:noProof/>
        <w:lang w:eastAsia="fr-FR"/>
      </w:rPr>
      <w:drawing>
        <wp:anchor distT="0" distB="0" distL="114300" distR="114300" simplePos="0" relativeHeight="251699200" behindDoc="0" locked="0" layoutInCell="1" allowOverlap="1" wp14:anchorId="7FE031AE" wp14:editId="56DEDE17">
          <wp:simplePos x="0" y="0"/>
          <wp:positionH relativeFrom="column">
            <wp:posOffset>5252484</wp:posOffset>
          </wp:positionH>
          <wp:positionV relativeFrom="paragraph">
            <wp:posOffset>-32533</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2A0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0D0E"/>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E1B88"/>
    <w:rsid w:val="001F14C9"/>
    <w:rsid w:val="001F266F"/>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6517B"/>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0C34"/>
    <w:rsid w:val="00724FCD"/>
    <w:rsid w:val="007358BA"/>
    <w:rsid w:val="00737A65"/>
    <w:rsid w:val="00740729"/>
    <w:rsid w:val="0074197A"/>
    <w:rsid w:val="00741B28"/>
    <w:rsid w:val="00753152"/>
    <w:rsid w:val="007542B1"/>
    <w:rsid w:val="00754E3B"/>
    <w:rsid w:val="00755AB1"/>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420D"/>
    <w:rsid w:val="008165F6"/>
    <w:rsid w:val="00820FB2"/>
    <w:rsid w:val="00827774"/>
    <w:rsid w:val="008316A3"/>
    <w:rsid w:val="00832C12"/>
    <w:rsid w:val="00840C0B"/>
    <w:rsid w:val="00841015"/>
    <w:rsid w:val="00841E52"/>
    <w:rsid w:val="008506FD"/>
    <w:rsid w:val="008529EC"/>
    <w:rsid w:val="00856A9E"/>
    <w:rsid w:val="008655FD"/>
    <w:rsid w:val="008771A8"/>
    <w:rsid w:val="00883FCA"/>
    <w:rsid w:val="00890A6B"/>
    <w:rsid w:val="0089403C"/>
    <w:rsid w:val="00897AE9"/>
    <w:rsid w:val="008A19F4"/>
    <w:rsid w:val="008A4A45"/>
    <w:rsid w:val="008B49FA"/>
    <w:rsid w:val="008B6A49"/>
    <w:rsid w:val="008C4BC2"/>
    <w:rsid w:val="008D04B5"/>
    <w:rsid w:val="008E01F0"/>
    <w:rsid w:val="008E3E60"/>
    <w:rsid w:val="008E4A52"/>
    <w:rsid w:val="008E532A"/>
    <w:rsid w:val="008F1B75"/>
    <w:rsid w:val="008F72D8"/>
    <w:rsid w:val="00900A65"/>
    <w:rsid w:val="00901707"/>
    <w:rsid w:val="00906B13"/>
    <w:rsid w:val="009123C8"/>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638"/>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0997"/>
    <w:rsid w:val="00C050AA"/>
    <w:rsid w:val="00C07F73"/>
    <w:rsid w:val="00C11B1A"/>
    <w:rsid w:val="00C11D48"/>
    <w:rsid w:val="00C12321"/>
    <w:rsid w:val="00C225D2"/>
    <w:rsid w:val="00C22FDB"/>
    <w:rsid w:val="00C243C9"/>
    <w:rsid w:val="00C2689F"/>
    <w:rsid w:val="00C26A42"/>
    <w:rsid w:val="00C26B0D"/>
    <w:rsid w:val="00C30949"/>
    <w:rsid w:val="00C31E09"/>
    <w:rsid w:val="00C32030"/>
    <w:rsid w:val="00C33913"/>
    <w:rsid w:val="00C33EB7"/>
    <w:rsid w:val="00C35B82"/>
    <w:rsid w:val="00C41E02"/>
    <w:rsid w:val="00C43243"/>
    <w:rsid w:val="00C45E14"/>
    <w:rsid w:val="00C51CBA"/>
    <w:rsid w:val="00C53143"/>
    <w:rsid w:val="00C53D9E"/>
    <w:rsid w:val="00C56780"/>
    <w:rsid w:val="00C70ECE"/>
    <w:rsid w:val="00C7325D"/>
    <w:rsid w:val="00C749F8"/>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EF7899"/>
    <w:rsid w:val="00F117C4"/>
    <w:rsid w:val="00F1263A"/>
    <w:rsid w:val="00F2639A"/>
    <w:rsid w:val="00F264CF"/>
    <w:rsid w:val="00F30A6A"/>
    <w:rsid w:val="00F3485C"/>
    <w:rsid w:val="00F34CE3"/>
    <w:rsid w:val="00F4265E"/>
    <w:rsid w:val="00F4431C"/>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304EC"/>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907A6-1C84-A94A-997D-BF4C461D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913</TotalTime>
  <Pages>20</Pages>
  <Words>3520</Words>
  <Characters>19366</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324</cp:revision>
  <cp:lastPrinted>2018-01-09T14:14:00Z</cp:lastPrinted>
  <dcterms:created xsi:type="dcterms:W3CDTF">2018-03-03T15:40:00Z</dcterms:created>
  <dcterms:modified xsi:type="dcterms:W3CDTF">2018-06-06T16:12:00Z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