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widowControl/>
        <w:spacing w:before="0" w:after="180" w:line="240" w:lineRule="auto"/>
        <w:jc w:val="center"/>
      </w:pPr>
      <w:r>
        <w:rPr>
          <w:rFonts w:ascii="Times New Roman" w:hAnsi="Times New Roman" w:cs="Times New Roman"/>
          <w:b/>
          <w:sz w:val="36"/>
          <w:szCs w:val="36"/>
        </w:rPr>
        <w:t xml:space="preserve">AnchorSlice: Anchor-Guided Static Slicing for Token-Efficient Smart Contract Vulnerability Detection</w:t>
      </w:r>
    </w:p>
    <w:tbl>
      <w:tblPr>
        <w:tblW w:w="9858" w:type="dxa"/>
        <w:jc w:val="center"/>
        <w:tblCellMar>
          <w:left w:w="60" w:type="dxa"/>
          <w:right w:w="60" w:type="dxa"/>
        </w:tblCellMar>
      </w:tblPr>
      <w:tblGrid>
        <w:gridCol w:w="3286"/>
        <w:gridCol w:w="3286"/>
        <w:gridCol w:w="3286"/>
      </w:tblGrid>
      <w:tr>
        <w:tc>
          <w:tcPr>
            <w:tcW w:w="3286" w:type="dxa"/>
          </w:tcPr>
          <w:p>
            <w:pPr>
              <w:widowControl/>
              <w:spacing w:before="0" w:after="0" w:line="240" w:lineRule="auto"/>
              <w:jc w:val="center"/>
            </w:pPr>
            <w:r>
              <w:rPr>
                <w:rFonts w:ascii="Times New Roman" w:hAnsi="Times New Roman" w:cs="Times New Roman"/>
                <w:sz w:val="22"/>
                <w:szCs w:val="22"/>
              </w:rPr>
              <w:t xml:space="preserve">Sajad Aghanasiri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s.aghanasiri@sbu.ac.ir</w:t>
            </w:r>
          </w:p>
        </w:tc>
        <w:tc>
          <w:tcPr>
            <w:tcW w:w="3286" w:type="dxa"/>
          </w:tcPr>
          <w:p>
            <w:pPr>
              <w:widowControl/>
              <w:spacing w:before="0" w:after="0" w:line="240" w:lineRule="auto"/>
              <w:jc w:val="center"/>
            </w:pPr>
            <w:r>
              <w:rPr>
                <w:rFonts w:ascii="Times New Roman" w:hAnsi="Times New Roman" w:cs="Times New Roman"/>
                <w:sz w:val="22"/>
                <w:szCs w:val="22"/>
              </w:rPr>
              <w:t xml:space="preserve">Sina Zaker</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s.zaker@sbu.ac.ir</w:t>
            </w:r>
          </w:p>
        </w:tc>
        <w:tc>
          <w:tcPr>
            <w:tcW w:w="3286" w:type="dxa"/>
          </w:tcPr>
          <w:p>
            <w:pPr>
              <w:widowControl/>
              <w:spacing w:before="0" w:after="0" w:line="240" w:lineRule="auto"/>
              <w:jc w:val="center"/>
            </w:pPr>
            <w:r>
              <w:rPr>
                <w:rFonts w:ascii="Times New Roman" w:hAnsi="Times New Roman" w:cs="Times New Roman"/>
                <w:sz w:val="22"/>
                <w:szCs w:val="22"/>
              </w:rPr>
              <w:t xml:space="preserve">Alireza Shameli-Sendi</w:t>
            </w:r>
          </w:p>
          <w:p>
            <w:pPr>
              <w:widowControl/>
              <w:spacing w:before="0" w:after="0" w:line="240" w:lineRule="auto"/>
              <w:jc w:val="center"/>
            </w:pPr>
            <w:r>
              <w:rPr>
                <w:rFonts w:ascii="Times New Roman" w:hAnsi="Times New Roman" w:cs="Times New Roman"/>
                <w:i/>
                <w:sz w:val="20"/>
                <w:szCs w:val="20"/>
              </w:rPr>
              <w:t xml:space="preserve">Faculty of Computer Science and Engineering</w:t>
            </w:r>
          </w:p>
          <w:p>
            <w:pPr>
              <w:widowControl/>
              <w:spacing w:before="0" w:after="0" w:line="240" w:lineRule="auto"/>
              <w:jc w:val="center"/>
            </w:pPr>
            <w:r>
              <w:rPr>
                <w:rFonts w:ascii="Times New Roman" w:hAnsi="Times New Roman" w:cs="Times New Roman"/>
                <w:i/>
                <w:sz w:val="20"/>
                <w:szCs w:val="20"/>
              </w:rPr>
              <w:t xml:space="preserve">Shahid Beheshti University</w:t>
            </w:r>
          </w:p>
          <w:p>
            <w:pPr>
              <w:widowControl/>
              <w:spacing w:before="0" w:after="0" w:line="240" w:lineRule="auto"/>
              <w:jc w:val="center"/>
            </w:pPr>
            <w:r>
              <w:rPr>
                <w:rFonts w:ascii="Times New Roman" w:hAnsi="Times New Roman" w:cs="Times New Roman"/>
                <w:i/>
                <w:sz w:val="20"/>
                <w:szCs w:val="20"/>
              </w:rPr>
              <w:t xml:space="preserve">Tehran, Iran</w:t>
            </w:r>
          </w:p>
          <w:p>
            <w:pPr>
              <w:widowControl/>
              <w:spacing w:before="0" w:after="0" w:line="240" w:lineRule="auto"/>
              <w:jc w:val="center"/>
            </w:pPr>
            <w:r>
              <w:rPr>
                <w:rFonts w:ascii="Times New Roman" w:hAnsi="Times New Roman" w:cs="Times New Roman"/>
                <w:sz w:val="20"/>
                <w:szCs w:val="20"/>
              </w:rPr>
              <w:t xml:space="preserve">a_shameli@sbu.ac.ir</w:t>
            </w:r>
          </w:p>
        </w:tc>
      </w:tr>
    </w:tbl>
    <w:p>
      <w:pPr>
        <w:widowControl/>
        <w:spacing w:before="0" w:after="0" w:line="240" w:lineRule="auto"/>
        <w:jc w:val="both"/>
        <w:sectPr>
          <w:type w:val="continuous"/>
          <w:pgSz w:w="11906" w:h="16838"/>
          <w:pgMar w:top="1077" w:right="1021" w:bottom="1418" w:left="1021" w:header="720" w:footer="720" w:gutter="0"/>
          <w:cols w:space="397"/>
        </w:sectPr>
      </w:pPr>
    </w:p>
    <w:p>
      <w:pPr>
        <w:widowControl/>
        <w:spacing w:before="60" w:after="60" w:line="240" w:lineRule="auto"/>
        <w:ind w:left="0" w:firstLine="200"/>
        <w:jc w:val="both"/>
      </w:pPr>
      <w:r>
        <w:rPr>
          <w:rFonts w:ascii="Times New Roman" w:hAnsi="Times New Roman" w:cs="Times New Roman"/>
          <w:b/>
          <w:i/>
          <w:sz w:val="18"/>
          <w:szCs w:val="18"/>
        </w:rPr>
        <w:t xml:space="preserve">Abstract—</w:t>
      </w:r>
      <w:r>
        <w:rPr>
          <w:rFonts w:ascii="Times New Roman" w:hAnsi="Times New Roman" w:cs="Times New Roman"/>
          <w:b/>
          <w:sz w:val="18"/>
          <w:szCs w:val="18"/>
        </w:rPr>
        <w:t xml:space="preserve">Automated vulnerability detection is essential for smart contracts, which cannot be patched once deployed. Detectors that reason over source code are increasingly capable, but their cost, latency and context capacity are bounded by the number of tokens they read, and most of a deployed contract is comments, library code and boilerplate that cannot host a vulnerability. This paper presents AnchorSlice, a static slicing stage that makes smart contract vulnerability detection token-efficient by reducing each contract, before it reaches the detector, to the fragments able to host each DASP vulnerability category. AnchorSlice is purely lexical: anchor expressions and brace matching decide what survives, overlapping regions are merged once and tagged with the categories they may host, and library code is collapsed under a rescue rule that preserves evidence. On 50 contracts from the DIVE benchmark it retains 60.2% of source characters, preserves evidence for all 119 labelled category instances and needs 7.6 ms per contract. In a paired evaluation that changes only the detector input, slicing reduced token consumption by 56.6% and runtime by 19.7%, while recall rose from 47.9% to 63.0% and F1-score from 42.7% to 50.0%. These gains are not statistically significant, but they show that taxonomy-aware input reduction can halve the token cost of vulnerability detection without degrading it.</w:t>
      </w:r>
    </w:p>
    <w:p>
      <w:pPr>
        <w:widowControl/>
        <w:spacing w:before="60" w:after="120" w:line="240" w:lineRule="auto"/>
        <w:ind w:left="0" w:firstLine="200"/>
        <w:jc w:val="both"/>
      </w:pPr>
      <w:r>
        <w:rPr>
          <w:rFonts w:ascii="Times New Roman" w:hAnsi="Times New Roman" w:cs="Times New Roman"/>
          <w:b/>
          <w:i/>
          <w:sz w:val="18"/>
          <w:szCs w:val="18"/>
        </w:rPr>
        <w:t xml:space="preserve">Keywords—</w:t>
      </w:r>
      <w:r>
        <w:rPr>
          <w:rFonts w:ascii="Times New Roman" w:hAnsi="Times New Roman" w:cs="Times New Roman"/>
          <w:i/>
          <w:sz w:val="18"/>
          <w:szCs w:val="18"/>
        </w:rPr>
        <w:t xml:space="preserve">smart contract vulnerability detection, token efficiency, static slicing, input reduction, blockchain security, DASP</w:t>
      </w:r>
    </w:p>
    <w:p>
      <w:pPr>
        <w:keepNext/>
        <w:keepLines/>
        <w:widowControl/>
        <w:spacing w:before="160" w:after="80" w:line="240" w:lineRule="auto"/>
        <w:jc w:val="center"/>
      </w:pPr>
      <w:r>
        <w:rPr>
          <w:rFonts w:ascii="Times New Roman" w:hAnsi="Times New Roman" w:cs="Times New Roman"/>
          <w:smallCaps/>
          <w:sz w:val="20"/>
          <w:szCs w:val="20"/>
        </w:rPr>
        <w:t xml:space="preserve">I.  Introduction</w:t>
      </w:r>
    </w:p>
    <w:p>
      <w:pPr>
        <w:widowControl/>
        <w:spacing w:before="0" w:after="0" w:line="240" w:lineRule="auto"/>
        <w:jc w:val="both"/>
      </w:pPr>
      <w:r>
        <w:rPr>
          <w:rFonts w:ascii="Times New Roman" w:hAnsi="Times New Roman" w:cs="Times New Roman"/>
          <w:sz w:val="20"/>
          <w:szCs w:val="20"/>
        </w:rPr>
        <w:t xml:space="preserve">Smart contracts cannot be patched once deployed, so their vulnerabilities must be found before deployment, and detectors that read contract source code have become one of the most capable ways to find them. Their cost, however, grows with the length of what they read, while most of a deployed contract cannot host any vulnerability. This section motivates token-efficient smart contract vulnerability detection. It first explains why contract defects are costly and why existing analysers leave detection open, then shows how input length limits source-level detectors, and finally introduces AnchorSlice, its contributions and the research questions that structure the evaluation.</w:t>
      </w:r>
    </w:p>
    <w:p>
      <w:pPr>
        <w:widowControl/>
        <w:spacing w:before="0" w:after="0" w:line="240" w:lineRule="auto"/>
        <w:ind w:left="0" w:firstLine="200"/>
        <w:jc w:val="both"/>
      </w:pPr>
      <w:r>
        <w:rPr>
          <w:rFonts w:ascii="Times New Roman" w:hAnsi="Times New Roman" w:cs="Times New Roman"/>
          <w:sz w:val="20"/>
          <w:szCs w:val="20"/>
        </w:rPr>
        <w:t xml:space="preserve">Smart contracts execute agreements without a trusted intermediary </w:t>
      </w:r>
      <w:r>
        <w:rPr>
          <w:rFonts w:ascii="Times New Roman" w:hAnsi="Times New Roman" w:cs="Times New Roman"/>
          <w:sz w:val="20"/>
          <w:szCs w:val="20"/>
        </w:rPr>
        <w:t xml:space="preserve">[</w:t>
      </w:r>
      <w:hyperlink w:anchor="ref_szabo1997" w:history="1">
        <w:r>
          <w:rPr>
            <w:rFonts w:ascii="Times New Roman" w:hAnsi="Times New Roman" w:cs="Times New Roman"/>
            <w:color w:val="1F4FB5"/>
            <w:sz w:val="20"/>
            <w:szCs w:val="20"/>
          </w:rPr>
          <w:t xml:space="preserve">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on Ethereum, hold and move assets directly. Their code is public and immutable, so any defect stays reachable by an adversary; the 2016 DAO reentrancy attack, which drained about sixty million dollars, motivated the first automated analysers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recurring fault patterns were later organised into the Decentralized Application Security Project (DASP) Top 10 </w:t>
      </w:r>
      <w:r>
        <w:rPr>
          <w:rFonts w:ascii="Times New Roman" w:hAnsi="Times New Roman" w:cs="Times New Roman"/>
          <w:sz w:val="20"/>
          <w:szCs w:val="20"/>
        </w:rPr>
        <w:t xml:space="preserve">[</w:t>
      </w:r>
      <w:hyperlink w:anchor="ref_dasp" w:history="1">
        <w:r>
          <w:rPr>
            <w:rFonts w:ascii="Times New Roman" w:hAnsi="Times New Roman" w:cs="Times New Roman"/>
            <w:color w:val="1F4FB5"/>
            <w:sz w:val="20"/>
            <w:szCs w:val="20"/>
          </w:rPr>
          <w:t xml:space="preserve">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Analysers still leave the problem open. Nine widely used tools run over 47,587 contracts found only a minority of the annotated faults while flagging 97% of the corpus </w:t>
      </w:r>
      <w:r>
        <w:rPr>
          <w:rFonts w:ascii="Times New Roman" w:hAnsi="Times New Roman" w:cs="Times New Roman"/>
          <w:sz w:val="20"/>
          <w:szCs w:val="20"/>
        </w:rPr>
        <w:t xml:space="preserve">[</w:t>
      </w:r>
      <w:hyperlink w:anchor="ref_durieux2020" w:history="1">
        <w:r>
          <w:rPr>
            <w:rFonts w:ascii="Times New Roman" w:hAnsi="Times New Roman" w:cs="Times New Roman"/>
            <w:color w:val="1F4FB5"/>
            <w:sz w:val="20"/>
            <w:szCs w:val="20"/>
          </w:rPr>
          <w:t xml:space="preserve">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injected faults of well-known shapes routinely escape detection </w:t>
      </w:r>
      <w:r>
        <w:rPr>
          <w:rFonts w:ascii="Times New Roman" w:hAnsi="Times New Roman" w:cs="Times New Roman"/>
          <w:sz w:val="20"/>
          <w:szCs w:val="20"/>
        </w:rPr>
        <w:t xml:space="preserve">[</w:t>
      </w:r>
      <w:hyperlink w:anchor="ref_ghaleb2020" w:history="1">
        <w:r>
          <w:rPr>
            <w:rFonts w:ascii="Times New Roman" w:hAnsi="Times New Roman" w:cs="Times New Roman"/>
            <w:color w:val="1F4FB5"/>
            <w:sz w:val="20"/>
            <w:szCs w:val="20"/>
          </w:rPr>
          <w:t xml:space="preserve">5</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Many real defects are semantic, which fixed rules such as those of Slither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cannot capture, and learning-based detectors were introduced partly to close this gap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w:t>
      </w:r>
    </w:p>
    <w:p>
      <w:pPr>
        <w:widowControl/>
        <w:spacing w:before="0" w:after="0" w:line="240" w:lineRule="auto"/>
        <w:ind w:left="0" w:firstLine="200"/>
        <w:jc w:val="both"/>
      </w:pPr>
      <w:r>
        <w:rPr>
          <w:rFonts w:ascii="Times New Roman" w:hAnsi="Times New Roman" w:cs="Times New Roman"/>
          <w:sz w:val="20"/>
          <w:szCs w:val="20"/>
        </w:rPr>
        <w:t xml:space="preserve">Detectors that reason over source code with pre-trained language models moved the field further. Pipelines that pair model reasoning with static confirmation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separate generation from criticism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or combine fine-tuned detectors with cooperating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report detection quality beyond pattern-based tools, and the literature is growing quickly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In these systems the model is one component of the detector, and all of them consume the contract source. That dependence has a cost that scales with input length: a source-level detector is billed per token, bounded by a context window, and less reliable when evidence is buried inside a long input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A fixed-supply ERC-20 token is several hundred lines of library boilerplate around perhaps thirty lines that could hold a flaw, yet the whole file is submitted. Generic prompt compression drops low-information tokens with a small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it spends model capacity itself and cannot guarantee that security-relevant code survives.</w:t>
      </w:r>
    </w:p>
    <w:p>
      <w:pPr>
        <w:widowControl/>
        <w:spacing w:before="0" w:after="0" w:line="240" w:lineRule="auto"/>
        <w:ind w:left="0" w:firstLine="200"/>
        <w:jc w:val="both"/>
      </w:pPr>
      <w:r>
        <w:rPr>
          <w:rFonts w:ascii="Times New Roman" w:hAnsi="Times New Roman" w:cs="Times New Roman"/>
          <w:sz w:val="20"/>
          <w:szCs w:val="20"/>
        </w:rPr>
        <w:t xml:space="preserve">We exploit the fact that vulnerability classes have lexical footprints: reentrancy requires an external call, bad randomness a block-derived value, and an arithmetic fault an operator. Code with none of these cannot host the corresponding defect, and deciding that requires no model. AnchorSlice is a purely static slicing stage that keeps, for each DASP category, only the regions whose tokens make the category possible, and hands the detector a compact annotated slice. It borrows the intuition of program slicing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without dependence analysis, and extends the candidate pruning of our LineGuard framework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serves one category per query, to all eight categories in a single pass. This paper contributes (i) AnchorSlice, a detector-agnostic lexical slicer with a DASP anchor set, a visibility gate, a tag-preserving merge and an evidence-preserving library collapse; (ii) its validation on the DIVE benchmark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showing full evidence retention at 60.2% of source characters; and (iii) a paired evaluation showing that slicing more than halves token consumption without reducing detection effectiveness. The evaluation answers three research questions:</w:t>
      </w:r>
    </w:p>
    <w:p>
      <w:pPr>
        <w:widowControl/>
        <w:numPr>
          <w:ilvl w:val="0"/>
          <w:numId w:val="1"/>
        </w:numPr>
        <w:spacing w:before="0" w:after="20" w:line="240" w:lineRule="auto"/>
        <w:jc w:val="both"/>
      </w:pPr>
      <w:r>
        <w:rPr>
          <w:rFonts w:ascii="Times New Roman" w:hAnsi="Times New Roman" w:cs="Times New Roman"/>
          <w:b/>
          <w:sz w:val="20"/>
          <w:szCs w:val="20"/>
        </w:rPr>
        <w:t xml:space="preserve">RQ1 (Evidence retention):</w:t>
      </w:r>
      <w:r>
        <w:rPr>
          <w:rFonts w:ascii="Times New Roman" w:hAnsi="Times New Roman" w:cs="Times New Roman"/>
          <w:sz w:val="20"/>
          <w:szCs w:val="20"/>
        </w:rPr>
        <w:t xml:space="preserve"> To what extent can a purely lexical, taxonomy-anchored slice reduce a contract's source while preserving the evidence for every labelled vulnerability category?</w:t>
      </w:r>
    </w:p>
    <w:p>
      <w:pPr>
        <w:widowControl/>
        <w:numPr>
          <w:ilvl w:val="0"/>
          <w:numId w:val="1"/>
        </w:numPr>
        <w:spacing w:before="0" w:after="20" w:line="240" w:lineRule="auto"/>
        <w:jc w:val="both"/>
      </w:pPr>
      <w:r>
        <w:rPr>
          <w:rFonts w:ascii="Times New Roman" w:hAnsi="Times New Roman" w:cs="Times New Roman"/>
          <w:b/>
          <w:sz w:val="20"/>
          <w:szCs w:val="20"/>
        </w:rPr>
        <w:t xml:space="preserve">RQ2 (Token efficiency):</w:t>
      </w:r>
      <w:r>
        <w:rPr>
          <w:rFonts w:ascii="Times New Roman" w:hAnsi="Times New Roman" w:cs="Times New Roman"/>
          <w:sz w:val="20"/>
          <w:szCs w:val="20"/>
        </w:rPr>
        <w:t xml:space="preserve"> How much do the token consumption, runtime and cost of vulnerability detection fall when the detector receives the slice instead of the complete contract?</w:t>
      </w:r>
    </w:p>
    <w:p>
      <w:pPr>
        <w:widowControl/>
        <w:numPr>
          <w:ilvl w:val="0"/>
          <w:numId w:val="1"/>
        </w:numPr>
        <w:spacing w:before="0" w:after="20" w:line="240" w:lineRule="auto"/>
        <w:jc w:val="both"/>
      </w:pPr>
      <w:r>
        <w:rPr>
          <w:rFonts w:ascii="Times New Roman" w:hAnsi="Times New Roman" w:cs="Times New Roman"/>
          <w:b/>
          <w:sz w:val="20"/>
          <w:szCs w:val="20"/>
        </w:rPr>
        <w:t xml:space="preserve">RQ3 (Detection effectiveness):</w:t>
      </w:r>
      <w:r>
        <w:rPr>
          <w:rFonts w:ascii="Times New Roman" w:hAnsi="Times New Roman" w:cs="Times New Roman"/>
          <w:sz w:val="20"/>
          <w:szCs w:val="20"/>
        </w:rPr>
        <w:t xml:space="preserve"> How does slicing affect vulnerability detection effectiveness, overall and for each DASP category?</w:t>
      </w:r>
    </w:p>
    <w:p>
      <w:pPr>
        <w:widowControl/>
        <w:spacing w:before="0" w:after="0" w:line="240" w:lineRule="auto"/>
        <w:jc w:val="both"/>
      </w:pPr>
      <w:r>
        <w:rPr>
          <w:rFonts w:ascii="Times New Roman" w:hAnsi="Times New Roman" w:cs="Times New Roman"/>
          <w:sz w:val="20"/>
          <w:szCs w:val="20"/>
        </w:rPr>
        <w:t xml:space="preserve">Section II reviews related work, Section III presents AnchorSlice, Section IV reports the evaluation and answers the research questions, Section V discusses limitations, and Section VI concludes.</w:t>
      </w:r>
    </w:p>
    <w:p>
      <w:pPr>
        <w:keepNext/>
        <w:keepLines/>
        <w:widowControl/>
        <w:spacing w:before="160" w:after="80" w:line="240" w:lineRule="auto"/>
        <w:jc w:val="center"/>
      </w:pPr>
      <w:r>
        <w:rPr>
          <w:rFonts w:ascii="Times New Roman" w:hAnsi="Times New Roman" w:cs="Times New Roman"/>
          <w:smallCaps/>
          <w:sz w:val="20"/>
          <w:szCs w:val="20"/>
        </w:rPr>
        <w:t xml:space="preserve">II.  Background and Related Work</w:t>
      </w:r>
    </w:p>
    <w:p>
      <w:pPr>
        <w:widowControl/>
        <w:spacing w:before="0" w:after="0" w:line="240" w:lineRule="auto"/>
        <w:jc w:val="both"/>
      </w:pPr>
      <w:r>
        <w:rPr>
          <w:rFonts w:ascii="Times New Roman" w:hAnsi="Times New Roman" w:cs="Times New Roman"/>
          <w:sz w:val="20"/>
          <w:szCs w:val="20"/>
        </w:rPr>
        <w:t xml:space="preserve">Token-efficient detection lies where three bodies of work meet. This section first reviews smart contract vulnerability analysers and detectors with attention to the input they consume, then input reduction and program slicing, and finally the labelled benchmarks used for evaluation and the position of AnchorSlice among these works.</w:t>
      </w:r>
    </w:p>
    <w:p>
      <w:pPr>
        <w:keepNext/>
        <w:keepLines/>
        <w:widowControl/>
        <w:spacing w:before="100" w:after="60" w:line="240" w:lineRule="auto"/>
        <w:jc w:val="left"/>
      </w:pPr>
      <w:r>
        <w:rPr>
          <w:rFonts w:ascii="Times New Roman" w:hAnsi="Times New Roman" w:cs="Times New Roman"/>
          <w:i/>
          <w:sz w:val="20"/>
          <w:szCs w:val="20"/>
        </w:rPr>
        <w:t xml:space="preserve">A. Vulnerability Analysers and Detectors</w:t>
      </w:r>
    </w:p>
    <w:p>
      <w:pPr>
        <w:widowControl/>
        <w:spacing w:before="0" w:after="0" w:line="240" w:lineRule="auto"/>
        <w:jc w:val="both"/>
      </w:pPr>
      <w:r>
        <w:rPr>
          <w:rFonts w:ascii="Times New Roman" w:hAnsi="Times New Roman" w:cs="Times New Roman"/>
          <w:sz w:val="20"/>
          <w:szCs w:val="20"/>
        </w:rPr>
        <w:t xml:space="preserve">Rule-based tools established automated contract analysis. Oyente applied symbolic execution to EVM bytecode </w:t>
      </w:r>
      <w:r>
        <w:rPr>
          <w:rFonts w:ascii="Times New Roman" w:hAnsi="Times New Roman" w:cs="Times New Roman"/>
          <w:sz w:val="20"/>
          <w:szCs w:val="20"/>
        </w:rPr>
        <w:t xml:space="preserve">[</w:t>
      </w:r>
      <w:hyperlink w:anchor="ref_luu2016" w:history="1">
        <w:r>
          <w:rPr>
            <w:rFonts w:ascii="Times New Roman" w:hAnsi="Times New Roman" w:cs="Times New Roman"/>
            <w:color w:val="1F4FB5"/>
            <w:sz w:val="20"/>
            <w:szCs w:val="20"/>
          </w:rPr>
          <w:t xml:space="preserve">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Securify matched compliance and violation patterns over dependence graphs </w:t>
      </w:r>
      <w:r>
        <w:rPr>
          <w:rFonts w:ascii="Times New Roman" w:hAnsi="Times New Roman" w:cs="Times New Roman"/>
          <w:sz w:val="20"/>
          <w:szCs w:val="20"/>
        </w:rPr>
        <w:t xml:space="preserve">[</w:t>
      </w:r>
      <w:hyperlink w:anchor="ref_tsankov2018" w:history="1">
        <w:r>
          <w:rPr>
            <w:rFonts w:ascii="Times New Roman" w:hAnsi="Times New Roman" w:cs="Times New Roman"/>
            <w:color w:val="1F4FB5"/>
            <w:sz w:val="20"/>
            <w:szCs w:val="20"/>
          </w:rPr>
          <w:t xml:space="preserve">17</w:t>
        </w:r>
      </w:hyperlink>
      <w:r>
        <w:rPr>
          <w:rFonts w:ascii="Times New Roman" w:hAnsi="Times New Roman" w:cs="Times New Roman"/>
          <w:sz w:val="20"/>
          <w:szCs w:val="20"/>
        </w:rPr>
        <w:t xml:space="preserve">]</w:t>
      </w:r>
      <w:r>
        <w:rPr>
          <w:rFonts w:ascii="Times New Roman" w:hAnsi="Times New Roman" w:cs="Times New Roman"/>
          <w:sz w:val="20"/>
          <w:szCs w:val="20"/>
        </w:rPr>
        <w:t xml:space="preserve">, SmartCheck queried an XML representation of Solidity </w:t>
      </w:r>
      <w:r>
        <w:rPr>
          <w:rFonts w:ascii="Times New Roman" w:hAnsi="Times New Roman" w:cs="Times New Roman"/>
          <w:sz w:val="20"/>
          <w:szCs w:val="20"/>
        </w:rPr>
        <w:t xml:space="preserve">[</w:t>
      </w:r>
      <w:hyperlink w:anchor="ref_tikhomirov2018" w:history="1">
        <w:r>
          <w:rPr>
            <w:rFonts w:ascii="Times New Roman" w:hAnsi="Times New Roman" w:cs="Times New Roman"/>
            <w:color w:val="1F4FB5"/>
            <w:sz w:val="20"/>
            <w:szCs w:val="20"/>
          </w:rPr>
          <w:t xml:space="preserve">18</w:t>
        </w:r>
      </w:hyperlink>
      <w:r>
        <w:rPr>
          <w:rFonts w:ascii="Times New Roman" w:hAnsi="Times New Roman" w:cs="Times New Roman"/>
          <w:sz w:val="20"/>
          <w:szCs w:val="20"/>
        </w:rPr>
        <w:t xml:space="preserve">]</w:t>
      </w:r>
      <w:r>
        <w:rPr>
          <w:rFonts w:ascii="Times New Roman" w:hAnsi="Times New Roman" w:cs="Times New Roman"/>
          <w:sz w:val="20"/>
          <w:szCs w:val="20"/>
        </w:rPr>
        <w:t xml:space="preserve">, Mythril combined symbolic execution with taint analysis </w:t>
      </w:r>
      <w:r>
        <w:rPr>
          <w:rFonts w:ascii="Times New Roman" w:hAnsi="Times New Roman" w:cs="Times New Roman"/>
          <w:sz w:val="20"/>
          <w:szCs w:val="20"/>
        </w:rPr>
        <w:t xml:space="preserve">[</w:t>
      </w:r>
      <w:hyperlink w:anchor="ref_mythril" w:history="1">
        <w:r>
          <w:rPr>
            <w:rFonts w:ascii="Times New Roman" w:hAnsi="Times New Roman" w:cs="Times New Roman"/>
            <w:color w:val="1F4FB5"/>
            <w:sz w:val="20"/>
            <w:szCs w:val="20"/>
          </w:rPr>
          <w:t xml:space="preserve">19</w:t>
        </w:r>
      </w:hyperlink>
      <w:r>
        <w:rPr>
          <w:rFonts w:ascii="Times New Roman" w:hAnsi="Times New Roman" w:cs="Times New Roman"/>
          <w:sz w:val="20"/>
          <w:szCs w:val="20"/>
        </w:rPr>
        <w:t xml:space="preserve">]</w:t>
      </w:r>
      <w:r>
        <w:rPr>
          <w:rFonts w:ascii="Times New Roman" w:hAnsi="Times New Roman" w:cs="Times New Roman"/>
          <w:sz w:val="20"/>
          <w:szCs w:val="20"/>
        </w:rPr>
        <w:t xml:space="preserve">, MAIAN searched for traces that leak or lock funds </w:t>
      </w:r>
      <w:r>
        <w:rPr>
          <w:rFonts w:ascii="Times New Roman" w:hAnsi="Times New Roman" w:cs="Times New Roman"/>
          <w:sz w:val="20"/>
          <w:szCs w:val="20"/>
        </w:rPr>
        <w:t xml:space="preserve">[</w:t>
      </w:r>
      <w:hyperlink w:anchor="ref_nikolic2018" w:history="1">
        <w:r>
          <w:rPr>
            <w:rFonts w:ascii="Times New Roman" w:hAnsi="Times New Roman" w:cs="Times New Roman"/>
            <w:color w:val="1F4FB5"/>
            <w:sz w:val="20"/>
            <w:szCs w:val="20"/>
          </w:rPr>
          <w:t xml:space="preserve">20</w:t>
        </w:r>
      </w:hyperlink>
      <w:r>
        <w:rPr>
          <w:rFonts w:ascii="Times New Roman" w:hAnsi="Times New Roman" w:cs="Times New Roman"/>
          <w:sz w:val="20"/>
          <w:szCs w:val="20"/>
        </w:rPr>
        <w:t xml:space="preserve">]</w:t>
      </w:r>
      <w:r>
        <w:rPr>
          <w:rFonts w:ascii="Times New Roman" w:hAnsi="Times New Roman" w:cs="Times New Roman"/>
          <w:sz w:val="20"/>
          <w:szCs w:val="20"/>
        </w:rPr>
        <w:t xml:space="preserve">, VeriSmart verified arithmetic safety through transaction invariants </w:t>
      </w:r>
      <w:r>
        <w:rPr>
          <w:rFonts w:ascii="Times New Roman" w:hAnsi="Times New Roman" w:cs="Times New Roman"/>
          <w:sz w:val="20"/>
          <w:szCs w:val="20"/>
        </w:rPr>
        <w:t xml:space="preserve">[</w:t>
      </w:r>
      <w:hyperlink w:anchor="ref_so2020" w:history="1">
        <w:r>
          <w:rPr>
            <w:rFonts w:ascii="Times New Roman" w:hAnsi="Times New Roman" w:cs="Times New Roman"/>
            <w:color w:val="1F4FB5"/>
            <w:sz w:val="20"/>
            <w:szCs w:val="20"/>
          </w:rPr>
          <w:t xml:space="preserve">21</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Slither runs detectors over an SSA-based intermediate form </w:t>
      </w:r>
      <w:r>
        <w:rPr>
          <w:rFonts w:ascii="Times New Roman" w:hAnsi="Times New Roman" w:cs="Times New Roman"/>
          <w:sz w:val="20"/>
          <w:szCs w:val="20"/>
        </w:rPr>
        <w:t xml:space="preserve">[</w:t>
      </w:r>
      <w:hyperlink w:anchor="ref_feist2019" w:history="1">
        <w:r>
          <w:rPr>
            <w:rFonts w:ascii="Times New Roman" w:hAnsi="Times New Roman" w:cs="Times New Roman"/>
            <w:color w:val="1F4FB5"/>
            <w:sz w:val="20"/>
            <w:szCs w:val="20"/>
          </w:rPr>
          <w:t xml:space="preserve">6</w:t>
        </w:r>
      </w:hyperlink>
      <w:r>
        <w:rPr>
          <w:rFonts w:ascii="Times New Roman" w:hAnsi="Times New Roman" w:cs="Times New Roman"/>
          <w:sz w:val="20"/>
          <w:szCs w:val="20"/>
        </w:rPr>
        <w:t xml:space="preserve">]</w:t>
      </w:r>
      <w:r>
        <w:rPr>
          <w:rFonts w:ascii="Times New Roman" w:hAnsi="Times New Roman" w:cs="Times New Roman"/>
          <w:sz w:val="20"/>
          <w:szCs w:val="20"/>
        </w:rPr>
        <w:t xml:space="preserve">. Because these tools execute analyses rather than read tokens, input length is not their bottleneck. Learning-based detectors changed the representation: VulDeePecker learned from code gadgets sliced around API calls </w:t>
      </w:r>
      <w:r>
        <w:rPr>
          <w:rFonts w:ascii="Times New Roman" w:hAnsi="Times New Roman" w:cs="Times New Roman"/>
          <w:sz w:val="20"/>
          <w:szCs w:val="20"/>
        </w:rPr>
        <w:t xml:space="preserve">[</w:t>
      </w:r>
      <w:hyperlink w:anchor="ref_li2018vuldeepecker" w:history="1">
        <w:r>
          <w:rPr>
            <w:rFonts w:ascii="Times New Roman" w:hAnsi="Times New Roman" w:cs="Times New Roman"/>
            <w:color w:val="1F4FB5"/>
            <w:sz w:val="20"/>
            <w:szCs w:val="20"/>
          </w:rPr>
          <w:t xml:space="preserve">22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SySeVR sliced programs over dependence graphs </w:t>
      </w:r>
      <w:r>
        <w:rPr>
          <w:rFonts w:ascii="Times New Roman" w:hAnsi="Times New Roman" w:cs="Times New Roman"/>
          <w:sz w:val="20"/>
          <w:szCs w:val="20"/>
        </w:rPr>
        <w:t xml:space="preserve">[</w:t>
      </w:r>
      <w:hyperlink w:anchor="ref_li2022sysevr" w:history="1">
        <w:r>
          <w:rPr>
            <w:rFonts w:ascii="Times New Roman" w:hAnsi="Times New Roman" w:cs="Times New Roman"/>
            <w:color w:val="1F4FB5"/>
            <w:sz w:val="20"/>
            <w:szCs w:val="20"/>
          </w:rPr>
          <w:t xml:space="preserve">23</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Zhuang et al. applied graph neural networks to normalised contract graphs </w:t>
      </w:r>
      <w:r>
        <w:rPr>
          <w:rFonts w:ascii="Times New Roman" w:hAnsi="Times New Roman" w:cs="Times New Roman"/>
          <w:sz w:val="20"/>
          <w:szCs w:val="20"/>
        </w:rPr>
        <w:t xml:space="preserve">[</w:t>
      </w:r>
      <w:hyperlink w:anchor="ref_zhuang2020" w:history="1">
        <w:r>
          <w:rPr>
            <w:rFonts w:ascii="Times New Roman" w:hAnsi="Times New Roman" w:cs="Times New Roman"/>
            <w:color w:val="1F4FB5"/>
            <w:sz w:val="20"/>
            <w:szCs w:val="20"/>
          </w:rPr>
          <w:t xml:space="preserve">7</w:t>
        </w:r>
      </w:hyperlink>
      <w:r>
        <w:rPr>
          <w:rFonts w:ascii="Times New Roman" w:hAnsi="Times New Roman" w:cs="Times New Roman"/>
          <w:sz w:val="20"/>
          <w:szCs w:val="20"/>
        </w:rPr>
        <w:t xml:space="preserve">]</w:t>
      </w:r>
      <w:r>
        <w:rPr>
          <w:rFonts w:ascii="Times New Roman" w:hAnsi="Times New Roman" w:cs="Times New Roman"/>
          <w:sz w:val="20"/>
          <w:szCs w:val="20"/>
        </w:rPr>
        <w:t xml:space="preserve">. Their reductions serve a trained representation rather than a vulnerability taxonomy, and they must be retrained when the representation changes.</w:t>
      </w:r>
    </w:p>
    <w:p>
      <w:pPr>
        <w:widowControl/>
        <w:spacing w:before="0" w:after="0" w:line="240" w:lineRule="auto"/>
        <w:ind w:left="0" w:firstLine="200"/>
        <w:jc w:val="both"/>
      </w:pPr>
      <w:r>
        <w:rPr>
          <w:rFonts w:ascii="Times New Roman" w:hAnsi="Times New Roman" w:cs="Times New Roman"/>
          <w:sz w:val="20"/>
          <w:szCs w:val="20"/>
        </w:rPr>
        <w:t xml:space="preserve">Source-level detectors built on language models read the contract itself: GPTScan validates model-nominated candidates with static modules </w:t>
      </w:r>
      <w:r>
        <w:rPr>
          <w:rFonts w:ascii="Times New Roman" w:hAnsi="Times New Roman" w:cs="Times New Roman"/>
          <w:sz w:val="20"/>
          <w:szCs w:val="20"/>
        </w:rPr>
        <w:t xml:space="preserve">[</w:t>
      </w:r>
      <w:hyperlink w:anchor="ref_sun2024gptscan" w:history="1">
        <w:r>
          <w:rPr>
            <w:rFonts w:ascii="Times New Roman" w:hAnsi="Times New Roman" w:cs="Times New Roman"/>
            <w:color w:val="1F4FB5"/>
            <w:sz w:val="20"/>
            <w:szCs w:val="20"/>
          </w:rPr>
          <w:t xml:space="preserve">8</w:t>
        </w:r>
      </w:hyperlink>
      <w:r>
        <w:rPr>
          <w:rFonts w:ascii="Times New Roman" w:hAnsi="Times New Roman" w:cs="Times New Roman"/>
          <w:sz w:val="20"/>
          <w:szCs w:val="20"/>
        </w:rPr>
        <w:t xml:space="preserve">]</w:t>
      </w:r>
      <w:r>
        <w:rPr>
          <w:rFonts w:ascii="Times New Roman" w:hAnsi="Times New Roman" w:cs="Times New Roman"/>
          <w:sz w:val="20"/>
          <w:szCs w:val="20"/>
        </w:rPr>
        <w:t xml:space="preserve">, GPTLens pairs auditor and critic roles </w:t>
      </w:r>
      <w:r>
        <w:rPr>
          <w:rFonts w:ascii="Times New Roman" w:hAnsi="Times New Roman" w:cs="Times New Roman"/>
          <w:sz w:val="20"/>
          <w:szCs w:val="20"/>
        </w:rPr>
        <w:t xml:space="preserve">[</w:t>
      </w:r>
      <w:hyperlink w:anchor="ref_hu2023gptlens" w:history="1">
        <w:r>
          <w:rPr>
            <w:rFonts w:ascii="Times New Roman" w:hAnsi="Times New Roman" w:cs="Times New Roman"/>
            <w:color w:val="1F4FB5"/>
            <w:sz w:val="20"/>
            <w:szCs w:val="20"/>
          </w:rPr>
          <w:t xml:space="preserve">9</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LLM-SmartAudit coordinates multiple agents </w:t>
      </w:r>
      <w:r>
        <w:rPr>
          <w:rFonts w:ascii="Times New Roman" w:hAnsi="Times New Roman" w:cs="Times New Roman"/>
          <w:sz w:val="20"/>
          <w:szCs w:val="20"/>
        </w:rPr>
        <w:t xml:space="preserve">[</w:t>
      </w:r>
      <w:hyperlink w:anchor="ref_wei2024smartaudit" w:history="1">
        <w:r>
          <w:rPr>
            <w:rFonts w:ascii="Times New Roman" w:hAnsi="Times New Roman" w:cs="Times New Roman"/>
            <w:color w:val="1F4FB5"/>
            <w:sz w:val="20"/>
            <w:szCs w:val="20"/>
          </w:rPr>
          <w:t xml:space="preserve">24</w:t>
        </w:r>
      </w:hyperlink>
      <w:r>
        <w:rPr>
          <w:rFonts w:ascii="Times New Roman" w:hAnsi="Times New Roman" w:cs="Times New Roman"/>
          <w:sz w:val="20"/>
          <w:szCs w:val="20"/>
        </w:rPr>
        <w:t xml:space="preserve">]</w:t>
      </w:r>
      <w:r>
        <w:rPr>
          <w:rFonts w:ascii="Times New Roman" w:hAnsi="Times New Roman" w:cs="Times New Roman"/>
          <w:sz w:val="20"/>
          <w:szCs w:val="20"/>
        </w:rPr>
        <w:t xml:space="preserve">, LLM4Vuln separates knowledge, tool use and reasoning </w:t>
      </w:r>
      <w:r>
        <w:rPr>
          <w:rFonts w:ascii="Times New Roman" w:hAnsi="Times New Roman" w:cs="Times New Roman"/>
          <w:sz w:val="20"/>
          <w:szCs w:val="20"/>
        </w:rPr>
        <w:t xml:space="preserve">[</w:t>
      </w:r>
      <w:hyperlink w:anchor="ref_sun2024llm4vuln" w:history="1">
        <w:r>
          <w:rPr>
            <w:rFonts w:ascii="Times New Roman" w:hAnsi="Times New Roman" w:cs="Times New Roman"/>
            <w:color w:val="1F4FB5"/>
            <w:sz w:val="20"/>
            <w:szCs w:val="20"/>
          </w:rPr>
          <w:t xml:space="preserve">25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iAudit combines fine-tuned detectors with ranking and critic agents </w:t>
      </w:r>
      <w:r>
        <w:rPr>
          <w:rFonts w:ascii="Times New Roman" w:hAnsi="Times New Roman" w:cs="Times New Roman"/>
          <w:sz w:val="20"/>
          <w:szCs w:val="20"/>
        </w:rPr>
        <w:t xml:space="preserve">[</w:t>
      </w:r>
      <w:hyperlink w:anchor="ref_ma2025iaudit" w:history="1">
        <w:r>
          <w:rPr>
            <w:rFonts w:ascii="Times New Roman" w:hAnsi="Times New Roman" w:cs="Times New Roman"/>
            <w:color w:val="1F4FB5"/>
            <w:sz w:val="20"/>
            <w:szCs w:val="20"/>
          </w:rPr>
          <w:t xml:space="preserve">10</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All of them receive the whole contract, and context length is a recurring constraint in this line of work </w:t>
      </w:r>
      <w:r>
        <w:rPr>
          <w:rFonts w:ascii="Times New Roman" w:hAnsi="Times New Roman" w:cs="Times New Roman"/>
          <w:sz w:val="20"/>
          <w:szCs w:val="20"/>
        </w:rPr>
        <w:t xml:space="preserve">[</w:t>
      </w:r>
      <w:hyperlink w:anchor="ref_he2024review" w:history="1">
        <w:r>
          <w:rPr>
            <w:rFonts w:ascii="Times New Roman" w:hAnsi="Times New Roman" w:cs="Times New Roman"/>
            <w:color w:val="1F4FB5"/>
            <w:sz w:val="20"/>
            <w:szCs w:val="20"/>
          </w:rPr>
          <w:t xml:space="preserve">11</w:t>
        </w:r>
      </w:hyperlink>
      <w:r>
        <w:rPr>
          <w:rFonts w:ascii="Times New Roman" w:hAnsi="Times New Roman" w:cs="Times New Roman"/>
          <w:sz w:val="20"/>
          <w:szCs w:val="20"/>
        </w:rPr>
        <w:t xml:space="preserve">]</w:t>
      </w:r>
      <w:r>
        <w:rPr>
          <w:rFonts w:ascii="Times New Roman" w:hAnsi="Times New Roman" w:cs="Times New Roman"/>
          <w:sz w:val="20"/>
          <w:szCs w:val="20"/>
        </w:rPr>
        <w:t xml:space="preserve">. LineGuard </w:t>
      </w:r>
      <w:r>
        <w:rPr>
          <w:rFonts w:ascii="Times New Roman" w:hAnsi="Times New Roman" w:cs="Times New Roman"/>
          <w:sz w:val="20"/>
          <w:szCs w:val="20"/>
        </w:rPr>
        <w:t xml:space="preserve">[</w:t>
      </w:r>
      <w:hyperlink w:anchor="ref_lineguard" w:history="1">
        <w:r>
          <w:rPr>
            <w:rFonts w:ascii="Times New Roman" w:hAnsi="Times New Roman" w:cs="Times New Roman"/>
            <w:color w:val="1F4FB5"/>
            <w:sz w:val="20"/>
            <w:szCs w:val="20"/>
          </w:rPr>
          <w:t xml:space="preserve">15</w:t>
        </w:r>
      </w:hyperlink>
      <w:r>
        <w:rPr>
          <w:rFonts w:ascii="Times New Roman" w:hAnsi="Times New Roman" w:cs="Times New Roman"/>
          <w:sz w:val="20"/>
          <w:szCs w:val="20"/>
        </w:rPr>
        <w:t xml:space="preserve">]</w:t>
      </w:r>
      <w:r>
        <w:rPr>
          <w:rFonts w:ascii="Times New Roman" w:hAnsi="Times New Roman" w:cs="Times New Roman"/>
          <w:sz w:val="20"/>
          <w:szCs w:val="20"/>
        </w:rPr>
        <w:t xml:space="preserve"> already narrows the input by ranking candidate lines with category-specific regular expressions and passing the top-ranked lines with a fixed context window, but it does so for one category given in advance and without isolating the effect of pruning on evidence or token cost.</w:t>
      </w:r>
    </w:p>
    <w:p>
      <w:pPr>
        <w:keepNext/>
        <w:keepLines/>
        <w:widowControl/>
        <w:spacing w:before="100" w:after="60" w:line="240" w:lineRule="auto"/>
        <w:jc w:val="left"/>
      </w:pPr>
      <w:r>
        <w:rPr>
          <w:rFonts w:ascii="Times New Roman" w:hAnsi="Times New Roman" w:cs="Times New Roman"/>
          <w:i/>
          <w:sz w:val="20"/>
          <w:szCs w:val="20"/>
        </w:rPr>
        <w:t xml:space="preserve">B. Input Reduction and Program Slicing</w:t>
      </w:r>
    </w:p>
    <w:p>
      <w:pPr>
        <w:widowControl/>
        <w:spacing w:before="0" w:after="0" w:line="240" w:lineRule="auto"/>
        <w:jc w:val="both"/>
      </w:pPr>
      <w:r>
        <w:rPr>
          <w:rFonts w:ascii="Times New Roman" w:hAnsi="Times New Roman" w:cs="Times New Roman"/>
          <w:sz w:val="20"/>
          <w:szCs w:val="20"/>
        </w:rPr>
        <w:t xml:space="preserve">Generic methods reduce long inputs statistically. LLMLingua drops low-information tokens with a small language model </w:t>
      </w:r>
      <w:r>
        <w:rPr>
          <w:rFonts w:ascii="Times New Roman" w:hAnsi="Times New Roman" w:cs="Times New Roman"/>
          <w:sz w:val="20"/>
          <w:szCs w:val="20"/>
        </w:rPr>
        <w:t xml:space="preserve">[</w:t>
      </w:r>
      <w:hyperlink w:anchor="ref_jiang2023llmlingua" w:history="1">
        <w:r>
          <w:rPr>
            <w:rFonts w:ascii="Times New Roman" w:hAnsi="Times New Roman" w:cs="Times New Roman"/>
            <w:color w:val="1F4FB5"/>
            <w:sz w:val="20"/>
            <w:szCs w:val="20"/>
          </w:rPr>
          <w:t xml:space="preserve">13</w:t>
        </w:r>
      </w:hyperlink>
      <w:r>
        <w:rPr>
          <w:rFonts w:ascii="Times New Roman" w:hAnsi="Times New Roman" w:cs="Times New Roman"/>
          <w:sz w:val="20"/>
          <w:szCs w:val="20"/>
        </w:rPr>
        <w:t xml:space="preserve">]</w:t>
      </w:r>
      <w:r>
        <w:rPr>
          <w:rFonts w:ascii="Times New Roman" w:hAnsi="Times New Roman" w:cs="Times New Roman"/>
          <w:sz w:val="20"/>
          <w:szCs w:val="20"/>
        </w:rPr>
        <w:t xml:space="preserve">, LongLLMLingua adds question-aware compression </w:t>
      </w:r>
      <w:r>
        <w:rPr>
          <w:rFonts w:ascii="Times New Roman" w:hAnsi="Times New Roman" w:cs="Times New Roman"/>
          <w:sz w:val="20"/>
          <w:szCs w:val="20"/>
        </w:rPr>
        <w:t xml:space="preserve">[</w:t>
      </w:r>
      <w:hyperlink w:anchor="ref_jiang2024longllmlingua" w:history="1">
        <w:r>
          <w:rPr>
            <w:rFonts w:ascii="Times New Roman" w:hAnsi="Times New Roman" w:cs="Times New Roman"/>
            <w:color w:val="1F4FB5"/>
            <w:sz w:val="20"/>
            <w:szCs w:val="20"/>
          </w:rPr>
          <w:t xml:space="preserve">26</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retrieval-augmented generation fetches only relevant passages </w:t>
      </w:r>
      <w:r>
        <w:rPr>
          <w:rFonts w:ascii="Times New Roman" w:hAnsi="Times New Roman" w:cs="Times New Roman"/>
          <w:sz w:val="20"/>
          <w:szCs w:val="20"/>
        </w:rPr>
        <w:t xml:space="preserve">[</w:t>
      </w:r>
      <w:hyperlink w:anchor="ref_lewis2020rag" w:history="1">
        <w:r>
          <w:rPr>
            <w:rFonts w:ascii="Times New Roman" w:hAnsi="Times New Roman" w:cs="Times New Roman"/>
            <w:color w:val="1F4FB5"/>
            <w:sz w:val="20"/>
            <w:szCs w:val="20"/>
          </w:rPr>
          <w:t xml:space="preserve">27</w:t>
        </w:r>
      </w:hyperlink>
      <w:r>
        <w:rPr>
          <w:rFonts w:ascii="Times New Roman" w:hAnsi="Times New Roman" w:cs="Times New Roman"/>
          <w:sz w:val="20"/>
          <w:szCs w:val="20"/>
        </w:rPr>
        <w:t xml:space="preserve">]</w:t>
      </w:r>
      <w:r>
        <w:rPr>
          <w:rFonts w:ascii="Times New Roman" w:hAnsi="Times New Roman" w:cs="Times New Roman"/>
          <w:sz w:val="20"/>
          <w:szCs w:val="20"/>
        </w:rPr>
        <w:t xml:space="preserve">; none of them can guarantee that a security-critical statement survives. Program slicing offers that guarantee by computing the statements that affect a criterion </w:t>
      </w:r>
      <w:r>
        <w:rPr>
          <w:rFonts w:ascii="Times New Roman" w:hAnsi="Times New Roman" w:cs="Times New Roman"/>
          <w:sz w:val="20"/>
          <w:szCs w:val="20"/>
        </w:rPr>
        <w:t xml:space="preserve">[</w:t>
      </w:r>
      <w:hyperlink w:anchor="ref_weiser1981" w:history="1">
        <w:r>
          <w:rPr>
            <w:rFonts w:ascii="Times New Roman" w:hAnsi="Times New Roman" w:cs="Times New Roman"/>
            <w:color w:val="1F4FB5"/>
            <w:sz w:val="20"/>
            <w:szCs w:val="20"/>
          </w:rPr>
          <w:t xml:space="preserve">14</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thin slicing keeps only value-producing statements </w:t>
      </w:r>
      <w:r>
        <w:rPr>
          <w:rFonts w:ascii="Times New Roman" w:hAnsi="Times New Roman" w:cs="Times New Roman"/>
          <w:sz w:val="20"/>
          <w:szCs w:val="20"/>
        </w:rPr>
        <w:t xml:space="preserve">[</w:t>
      </w:r>
      <w:hyperlink w:anchor="ref_sridharan2007" w:history="1">
        <w:r>
          <w:rPr>
            <w:rFonts w:ascii="Times New Roman" w:hAnsi="Times New Roman" w:cs="Times New Roman"/>
            <w:color w:val="1F4FB5"/>
            <w:sz w:val="20"/>
            <w:szCs w:val="20"/>
          </w:rPr>
          <w:t xml:space="preserve">28</w:t>
        </w:r>
      </w:hyperlink>
      <w:r>
        <w:rPr>
          <w:rFonts w:ascii="Times New Roman" w:hAnsi="Times New Roman" w:cs="Times New Roman"/>
          <w:sz w:val="20"/>
          <w:szCs w:val="20"/>
        </w:rPr>
        <w:t xml:space="preserve">]</w:t>
      </w:r>
      <w:r>
        <w:rPr>
          <w:rFonts w:ascii="Times New Roman" w:hAnsi="Times New Roman" w:cs="Times New Roman"/>
          <w:sz w:val="20"/>
          <w:szCs w:val="20"/>
        </w:rPr>
        <w:t xml:space="preserve">, but both need a compilable program and a dependence graph, a strong requirement for deployed contracts spanning many compiler versions. AnchorSlice sits between these positions: coarser than dependence-based slicing, model-free unlike prompt compression, and guided by the vulnerability taxonomy itself.</w:t>
      </w:r>
    </w:p>
    <w:p>
      <w:pPr>
        <w:keepNext/>
        <w:keepLines/>
        <w:widowControl/>
        <w:spacing w:before="100" w:after="60" w:line="240" w:lineRule="auto"/>
        <w:jc w:val="left"/>
      </w:pPr>
      <w:r>
        <w:rPr>
          <w:rFonts w:ascii="Times New Roman" w:hAnsi="Times New Roman" w:cs="Times New Roman"/>
          <w:i/>
          <w:sz w:val="20"/>
          <w:szCs w:val="20"/>
        </w:rPr>
        <w:t xml:space="preserve">C. Benchmarks and Positioning</w:t>
      </w:r>
    </w:p>
    <w:p>
      <w:pPr>
        <w:widowControl/>
        <w:spacing w:before="0" w:after="0" w:line="240" w:lineRule="auto"/>
        <w:jc w:val="both"/>
      </w:pPr>
      <w:r>
        <w:rPr>
          <w:rFonts w:ascii="Times New Roman" w:hAnsi="Times New Roman" w:cs="Times New Roman"/>
          <w:sz w:val="20"/>
          <w:szCs w:val="20"/>
        </w:rPr>
        <w:t xml:space="preserve">ScrawlD labels real contracts by majority vote over five analysers </w:t>
      </w:r>
      <w:r>
        <w:rPr>
          <w:rFonts w:ascii="Times New Roman" w:hAnsi="Times New Roman" w:cs="Times New Roman"/>
          <w:sz w:val="20"/>
          <w:szCs w:val="20"/>
        </w:rPr>
        <w:t xml:space="preserve">[</w:t>
      </w:r>
      <w:hyperlink w:anchor="ref_yashavant2022" w:history="1">
        <w:r>
          <w:rPr>
            <w:rFonts w:ascii="Times New Roman" w:hAnsi="Times New Roman" w:cs="Times New Roman"/>
            <w:color w:val="1F4FB5"/>
            <w:sz w:val="20"/>
            <w:szCs w:val="20"/>
          </w:rPr>
          <w:t xml:space="preserve">29</w:t>
        </w:r>
      </w:hyperlink>
      <w:r>
        <w:rPr>
          <w:rFonts w:ascii="Times New Roman" w:hAnsi="Times New Roman" w:cs="Times New Roman"/>
          <w:sz w:val="20"/>
          <w:szCs w:val="20"/>
        </w:rPr>
        <w:t xml:space="preserve">]</w:t>
      </w:r>
      <w:r>
        <w:rPr>
          <w:rFonts w:ascii="Times New Roman" w:hAnsi="Times New Roman" w:cs="Times New Roman"/>
          <w:sz w:val="20"/>
          <w:szCs w:val="20"/>
        </w:rPr>
        <w:t xml:space="preserve">, and DAppSCAN derives weakness datasets from 1,199 audit reports </w:t>
      </w:r>
      <w:r>
        <w:rPr>
          <w:rFonts w:ascii="Times New Roman" w:hAnsi="Times New Roman" w:cs="Times New Roman"/>
          <w:sz w:val="20"/>
          <w:szCs w:val="20"/>
        </w:rPr>
        <w:t xml:space="preserve">[</w:t>
      </w:r>
      <w:hyperlink w:anchor="ref_zheng2024dappscan" w:history="1">
        <w:r>
          <w:rPr>
            <w:rFonts w:ascii="Times New Roman" w:hAnsi="Times New Roman" w:cs="Times New Roman"/>
            <w:color w:val="1F4FB5"/>
            <w:sz w:val="20"/>
            <w:szCs w:val="20"/>
          </w:rPr>
          <w:t xml:space="preserve">30</w:t>
        </w:r>
      </w:hyperlink>
      <w:r>
        <w:rPr>
          <w:rFonts w:ascii="Times New Roman" w:hAnsi="Times New Roman" w:cs="Times New Roman"/>
          <w:sz w:val="20"/>
          <w:szCs w:val="20"/>
        </w:rPr>
        <w:t xml:space="preserve">]</w:t>
      </w:r>
      <w:r>
        <w:rPr>
          <w:rFonts w:ascii="Times New Roman" w:hAnsi="Times New Roman" w:cs="Times New Roman"/>
          <w:sz w:val="20"/>
          <w:szCs w:val="20"/>
        </w:rPr>
        <w:t xml:space="preserve">. We use DIVE </w:t>
      </w:r>
      <w:r>
        <w:rPr>
          <w:rFonts w:ascii="Times New Roman" w:hAnsi="Times New Roman" w:cs="Times New Roman"/>
          <w:sz w:val="20"/>
          <w:szCs w:val="20"/>
        </w:rPr>
        <w:t xml:space="preserve">[</w:t>
      </w:r>
      <w:hyperlink w:anchor="ref_dive2026" w:history="1">
        <w:r>
          <w:rPr>
            <w:rFonts w:ascii="Times New Roman" w:hAnsi="Times New Roman" w:cs="Times New Roman"/>
            <w:color w:val="1F4FB5"/>
            <w:sz w:val="20"/>
            <w:szCs w:val="20"/>
          </w:rPr>
          <w:t xml:space="preserve">16</w:t>
        </w:r>
      </w:hyperlink>
      <w:r>
        <w:rPr>
          <w:rFonts w:ascii="Times New Roman" w:hAnsi="Times New Roman" w:cs="Times New Roman"/>
          <w:sz w:val="20"/>
          <w:szCs w:val="20"/>
        </w:rPr>
        <w:t xml:space="preserve">]</w:t>
      </w:r>
      <w:r>
        <w:rPr>
          <w:rFonts w:ascii="Times New Roman" w:hAnsi="Times New Roman" w:cs="Times New Roman"/>
          <w:sz w:val="20"/>
          <w:szCs w:val="20"/>
        </w:rPr>
        <w:t xml:space="preserve">, which labels 22,330 contracts against DASP categories 1–8 by aggregating MAIAN, Mythril, Semgrep, Slither, Solhint and VeriSmart through power-based voting with post-hoc validation of positive findings. Its labels are assigned per contract, which determines how evidence retention can be validated. To our knowledge, AnchorSlice is the first input reduction stage for vulnerability detection that is at once model-free, guided by a full vulnerability taxonomy, and validated for evidence retention on a labelled smart contract benchmark.</w:t>
      </w:r>
    </w:p>
    <w:p>
      <w:pPr>
        <w:keepNext/>
        <w:keepLines/>
        <w:widowControl/>
        <w:spacing w:before="160" w:after="80" w:line="240" w:lineRule="auto"/>
        <w:jc w:val="center"/>
      </w:pPr>
      <w:r>
        <w:rPr>
          <w:rFonts w:ascii="Times New Roman" w:hAnsi="Times New Roman" w:cs="Times New Roman"/>
          <w:smallCaps/>
          <w:sz w:val="20"/>
          <w:szCs w:val="20"/>
        </w:rPr>
        <w:t xml:space="preserve">III.  AnchorSlice</w:t>
      </w:r>
    </w:p>
    <w:p>
      <w:pPr>
        <w:widowControl/>
        <w:spacing w:before="0" w:after="0" w:line="240" w:lineRule="auto"/>
        <w:jc w:val="both"/>
        <w:sectPr>
          <w:type w:val="continuous"/>
          <w:pgSz w:w="11906" w:h="16838"/>
          <w:pgMar w:top="1077" w:right="1021" w:bottom="1418" w:left="1021" w:header="720" w:footer="720" w:gutter="0"/>
          <w:cols w:num="2" w:space="397" w:equalWidth="1"/>
        </w:sectPr>
      </w:pPr>
      <w:r>
        <w:rPr>
          <w:rFonts w:ascii="Times New Roman" w:hAnsi="Times New Roman" w:cs="Times New Roman"/>
          <w:sz w:val="20"/>
          <w:szCs w:val="20"/>
        </w:rPr>
        <w:t xml:space="preserve">AnchorSlice converts a complete Solidity contract into a compact slice that retains, for every DASP category, the regions able to host it, so that a downstream detector reads fewer tokens without losing evidence. Fig. 1 places the slicer in the detection pipeline, Table I lists its anchors, and Algorithm 1 gives the procedure. This section first states the design principles, then describes the lexical anchors and the visibility gate, the extraction and merging of windows together with library collapse, and finally the rendering of the slice for the detector, illustrated in Fig. 2.</w:t>
      </w:r>
    </w:p>
    <w:p>
      <w:pPr>
        <w:keepNext/>
        <w:spacing w:before="120" w:after="40"/>
        <w:jc w:val="center"/>
      </w:pPr>
      <w:r>
        <w:drawing>
          <wp:inline distT="0" distB="0" distL="0" distR="0">
            <wp:extent cx="6096000" cy="2088332"/>
            <wp:docPr id="101" name="Figure 1"/>
            <a:graphic xmlns:a="http://schemas.openxmlformats.org/drawingml/2006/main">
              <a:graphicData uri="http://schemas.openxmlformats.org/drawingml/2006/picture">
                <pic:pic xmlns:pic="http://schemas.openxmlformats.org/drawingml/2006/picture">
                  <pic:nvPicPr>
                    <pic:cNvPr id="101" name="Figure 1"/>
                    <pic:cNvPicPr/>
                  </pic:nvPicPr>
                  <pic:blipFill>
                    <a:blip r:embed="rIdImg1"/>
                    <a:stretch>
                      <a:fillRect/>
                    </a:stretch>
                  </pic:blipFill>
                  <pic:spPr>
                    <a:xfrm>
                      <a:off x="0" y="0"/>
                      <a:ext cx="6096000" cy="2088332"/>
                    </a:xfrm>
                    <a:prstGeom prst="rect">
                      <a:avLst/>
                    </a:prstGeom>
                  </pic:spPr>
                </pic:pic>
              </a:graphicData>
            </a:graphic>
          </wp:inline>
        </w:drawing>
      </w:r>
    </w:p>
    <w:p>
      <w:pPr>
        <w:widowControl/>
        <w:spacing w:before="60" w:after="100" w:line="240" w:lineRule="auto"/>
        <w:jc w:val="both"/>
      </w:pPr>
      <w:r>
        <w:rPr>
          <w:rFonts w:ascii="Times New Roman" w:hAnsi="Times New Roman" w:cs="Times New Roman"/>
          <w:b/>
          <w:sz w:val="16"/>
          <w:szCs w:val="16"/>
        </w:rPr>
        <w:t xml:space="preserve">Fig. 1.</w:t>
      </w:r>
      <w:r>
        <w:rPr>
          <w:rFonts w:ascii="Times New Roman" w:hAnsi="Times New Roman" w:cs="Times New Roman"/>
          <w:sz w:val="16"/>
          <w:szCs w:val="16"/>
        </w:rPr>
        <w:t xml:space="preserve">  Vulnerability detection with and without AnchorSlice. Arm A passes the complete source to the detector; Arm B inserts stages S1–S3, annotated with the share of corpus characters retained after each. The detector, prompt and output schema are identical in both arms.</w:t>
      </w:r>
    </w:p>
    <w:p>
      <w:pPr>
        <w:keepNext/>
        <w:keepLines/>
        <w:widowControl/>
        <w:spacing w:before="120" w:after="60" w:line="240" w:lineRule="auto"/>
        <w:jc w:val="center"/>
      </w:pPr>
      <w:r>
        <w:rPr>
          <w:rFonts w:ascii="Times New Roman" w:hAnsi="Times New Roman" w:cs="Times New Roman"/>
          <w:smallCaps/>
          <w:sz w:val="16"/>
          <w:szCs w:val="16"/>
        </w:rPr>
        <w:t xml:space="preserve">Table I.  Anchor Specification for the Eight DASP Categories</w:t>
      </w:r>
    </w:p>
    <w:tbl>
      <w:tblPr>
        <w:tblW w:w="9860"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560"/>
        <w:gridCol w:w="6650"/>
        <w:gridCol w:w="800"/>
        <w:gridCol w:w="850"/>
      </w:tblGrid>
      <w:tr>
        <w:trPr>
          <w:cantSplit/>
          <w:tblHeader/>
        </w:trPr>
        <w:tc>
          <w:tcPr>
            <w:tcW w:w="156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66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Anchor expressions</w:t>
            </w:r>
          </w:p>
        </w:tc>
        <w:tc>
          <w:tcPr>
            <w:tcW w:w="800" w:type="dxa"/>
            <w:tcBorders>
              <w:bottom w:val="single" w:sz="8" w:space="0" w:color="000000"/>
            </w:tcBorders>
            <w:vAlign w:val="center"/>
          </w:tcPr>
          <w:p>
            <w:pPr>
              <w:widowControl/>
              <w:spacing w:before="6" w:after="6" w:line="240" w:lineRule="auto"/>
              <w:jc w:val="center"/>
            </w:pPr>
            <w:r>
              <w:rPr>
                <w:rFonts w:ascii="Times New Roman" w:hAnsi="Times New Roman" w:cs="Times New Roman"/>
                <w:b/>
                <w:sz w:val="16"/>
                <w:szCs w:val="16"/>
              </w:rPr>
              <w:t xml:space="preserve">Gate</w:t>
            </w:r>
          </w:p>
        </w:tc>
        <w:tc>
          <w:tcPr>
            <w:tcW w:w="8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Retained</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22/22</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6650" w:type="dxa"/>
            <w:vAlign w:val="center"/>
          </w:tcPr>
          <w:p>
            <w:pPr>
              <w:widowControl/>
              <w:spacing w:before="6" w:after="6" w:line="240" w:lineRule="auto"/>
              <w:jc w:val="left"/>
            </w:pPr>
            <w:r>
              <w:rPr>
                <w:rFonts w:ascii="Courier New" w:hAnsi="Courier New" w:cs="Courier New"/>
                <w:sz w:val="14"/>
                <w:szCs w:val="14"/>
              </w:rPr>
              <w:t xml:space="preserve">modifier</w:t>
            </w:r>
            <w:r>
              <w:rPr>
                <w:rFonts w:ascii="Times New Roman" w:hAnsi="Times New Roman" w:cs="Times New Roman"/>
                <w:sz w:val="16"/>
                <w:szCs w:val="16"/>
              </w:rPr>
              <w:t xml:space="preserve"> · </w:t>
            </w:r>
            <w:r>
              <w:rPr>
                <w:rFonts w:ascii="Courier New" w:hAnsi="Courier New" w:cs="Courier New"/>
                <w:sz w:val="14"/>
                <w:szCs w:val="14"/>
              </w:rPr>
              <w:t xml:space="preserve">only\w+</w:t>
            </w:r>
            <w:r>
              <w:rPr>
                <w:rFonts w:ascii="Times New Roman" w:hAnsi="Times New Roman" w:cs="Times New Roman"/>
                <w:sz w:val="16"/>
                <w:szCs w:val="16"/>
              </w:rPr>
              <w:t xml:space="preserve"> · </w:t>
            </w:r>
            <w:r>
              <w:rPr>
                <w:rFonts w:ascii="Courier New" w:hAnsi="Courier New" w:cs="Courier New"/>
                <w:sz w:val="14"/>
                <w:szCs w:val="14"/>
              </w:rPr>
              <w:t xml:space="preserve">(_)owner =</w:t>
            </w:r>
            <w:r>
              <w:rPr>
                <w:rFonts w:ascii="Times New Roman" w:hAnsi="Times New Roman" w:cs="Times New Roman"/>
                <w:sz w:val="16"/>
                <w:szCs w:val="16"/>
              </w:rPr>
              <w:t xml:space="preserve"> · </w:t>
            </w:r>
            <w:r>
              <w:rPr>
                <w:rFonts w:ascii="Courier New" w:hAnsi="Courier New" w:cs="Courier New"/>
                <w:sz w:val="14"/>
                <w:szCs w:val="14"/>
              </w:rPr>
              <w:t xml:space="preserve">tx.origin</w:t>
            </w:r>
            <w:r>
              <w:rPr>
                <w:rFonts w:ascii="Times New Roman" w:hAnsi="Times New Roman" w:cs="Times New Roman"/>
                <w:sz w:val="16"/>
                <w:szCs w:val="16"/>
              </w:rPr>
              <w:t xml:space="preserve"> · </w:t>
            </w:r>
            <w:r>
              <w:rPr>
                <w:rFonts w:ascii="Courier New" w:hAnsi="Courier New" w:cs="Courier New"/>
                <w:sz w:val="14"/>
                <w:szCs w:val="14"/>
              </w:rPr>
              <w:t xml:space="preserve">selfdestruct</w:t>
            </w:r>
            <w:r>
              <w:rPr>
                <w:rFonts w:ascii="Times New Roman" w:hAnsi="Times New Roman" w:cs="Times New Roman"/>
                <w:sz w:val="16"/>
                <w:szCs w:val="16"/>
              </w:rPr>
              <w:t xml:space="preserve"> · </w:t>
            </w:r>
            <w:r>
              <w:rPr>
                <w:rFonts w:ascii="Courier New" w:hAnsi="Courier New" w:cs="Courier New"/>
                <w:sz w:val="14"/>
                <w:szCs w:val="14"/>
              </w:rPr>
              <w:t xml:space="preserve">suicide</w:t>
            </w:r>
            <w:r>
              <w:rPr>
                <w:rFonts w:ascii="Times New Roman" w:hAnsi="Times New Roman" w:cs="Times New Roman"/>
                <w:sz w:val="16"/>
                <w:szCs w:val="16"/>
              </w:rPr>
              <w:t xml:space="preserve"> · </w:t>
            </w:r>
            <w:r>
              <w:rPr>
                <w:rFonts w:ascii="Courier New" w:hAnsi="Courier New" w:cs="Courier New"/>
                <w:sz w:val="14"/>
                <w:szCs w:val="14"/>
              </w:rPr>
              <w:t xml:space="preserve">delegatecall</w:t>
            </w:r>
            <w:r>
              <w:rPr>
                <w:rFonts w:ascii="Times New Roman" w:hAnsi="Times New Roman" w:cs="Times New Roman"/>
                <w:sz w:val="16"/>
                <w:szCs w:val="16"/>
              </w:rPr>
              <w:t xml:space="preserve"> · </w:t>
            </w:r>
            <w:r>
              <w:rPr>
                <w:rFonts w:ascii="Courier New" w:hAnsi="Courier New" w:cs="Courier New"/>
                <w:sz w:val="14"/>
                <w:szCs w:val="14"/>
              </w:rPr>
              <w:t xml:space="preserve">require(msg.sender</w:t>
            </w:r>
            <w:r>
              <w:rPr>
                <w:rFonts w:ascii="Times New Roman" w:hAnsi="Times New Roman" w:cs="Times New Roman"/>
                <w:sz w:val="16"/>
                <w:szCs w:val="16"/>
              </w:rPr>
              <w:t xml:space="preserve"> · </w:t>
            </w:r>
            <w:r>
              <w:rPr>
                <w:rFonts w:ascii="Courier New" w:hAnsi="Courier New" w:cs="Courier New"/>
                <w:sz w:val="14"/>
                <w:szCs w:val="14"/>
              </w:rPr>
              <w:t xml:space="preserve">renounce</w:t>
            </w:r>
            <w:r>
              <w:rPr>
                <w:rFonts w:ascii="Times New Roman" w:hAnsi="Times New Roman" w:cs="Times New Roman"/>
                <w:sz w:val="16"/>
                <w:szCs w:val="16"/>
              </w:rPr>
              <w:t xml:space="preserve"> · </w:t>
            </w:r>
            <w:r>
              <w:rPr>
                <w:rFonts w:ascii="Courier New" w:hAnsi="Courier New" w:cs="Courier New"/>
                <w:sz w:val="14"/>
                <w:szCs w:val="14"/>
              </w:rPr>
              <w:t xml:space="preserve">transferOwnership</w:t>
            </w:r>
            <w:r>
              <w:rPr>
                <w:rFonts w:ascii="Times New Roman" w:hAnsi="Times New Roman" w:cs="Times New Roman"/>
                <w:sz w:val="16"/>
                <w:szCs w:val="16"/>
              </w:rPr>
              <w:t xml:space="preserve"> · </w:t>
            </w:r>
            <w:r>
              <w:rPr>
                <w:rFonts w:ascii="Courier New" w:hAnsi="Courier New" w:cs="Courier New"/>
                <w:sz w:val="14"/>
                <w:szCs w:val="14"/>
              </w:rPr>
              <w:t xml:space="preserve">authoriz</w:t>
            </w:r>
            <w:r>
              <w:rPr>
                <w:rFonts w:ascii="Times New Roman" w:hAnsi="Times New Roman" w:cs="Times New Roman"/>
                <w:sz w:val="16"/>
                <w:szCs w:val="16"/>
              </w:rPr>
              <w:t xml:space="preserve"> · </w:t>
            </w:r>
            <w:r>
              <w:rPr>
                <w:rFonts w:ascii="Courier New" w:hAnsi="Courier New" w:cs="Courier New"/>
                <w:sz w:val="14"/>
                <w:szCs w:val="14"/>
              </w:rPr>
              <w:t xml:space="preserve">admin</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39/39</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6650" w:type="dxa"/>
            <w:vAlign w:val="center"/>
          </w:tcPr>
          <w:p>
            <w:pPr>
              <w:widowControl/>
              <w:spacing w:before="6" w:after="6" w:line="240" w:lineRule="auto"/>
              <w:jc w:val="left"/>
            </w:pPr>
            <w:r>
              <w:rPr>
                <w:rFonts w:ascii="Courier New" w:hAnsi="Courier New" w:cs="Courier New"/>
                <w:sz w:val="14"/>
                <w:szCs w:val="14"/>
              </w:rPr>
              <w:t xml:space="preserve">[+ - * / %]=</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x [+ * / %] y</w:t>
            </w:r>
            <w:r>
              <w:rPr>
                <w:rFonts w:ascii="Times New Roman" w:hAnsi="Times New Roman" w:cs="Times New Roman"/>
                <w:sz w:val="16"/>
                <w:szCs w:val="16"/>
              </w:rPr>
              <w:t xml:space="preserve"> · </w:t>
            </w:r>
            <w:r>
              <w:rPr>
                <w:rFonts w:ascii="Courier New" w:hAnsi="Courier New" w:cs="Courier New"/>
                <w:sz w:val="14"/>
                <w:szCs w:val="14"/>
              </w:rPr>
              <w:t xml:space="preserve">x - y</w:t>
            </w:r>
            <w:r>
              <w:rPr>
                <w:rFonts w:ascii="Times New Roman" w:hAnsi="Times New Roman" w:cs="Times New Roman"/>
                <w:sz w:val="16"/>
                <w:szCs w:val="16"/>
              </w:rPr>
              <w:t xml:space="preserve"> · </w:t>
            </w:r>
            <w:r>
              <w:rPr>
                <w:rFonts w:ascii="Courier New" w:hAnsi="Courier New" w:cs="Courier New"/>
                <w:sz w:val="14"/>
                <w:szCs w:val="14"/>
              </w:rPr>
              <w:t xml:space="preserve">**</w:t>
            </w:r>
            <w:r>
              <w:rPr>
                <w:rFonts w:ascii="Times New Roman" w:hAnsi="Times New Roman" w:cs="Times New Roman"/>
                <w:sz w:val="16"/>
                <w:szCs w:val="16"/>
              </w:rPr>
              <w:t xml:space="preserve"> · </w:t>
            </w:r>
            <w:r>
              <w:rPr>
                <w:rFonts w:ascii="Courier New" w:hAnsi="Courier New" w:cs="Courier New"/>
                <w:sz w:val="14"/>
                <w:szCs w:val="14"/>
              </w:rPr>
              <w:t xml:space="preserve">&lt;&lt;</w:t>
            </w:r>
            <w:r>
              <w:rPr>
                <w:rFonts w:ascii="Times New Roman" w:hAnsi="Times New Roman" w:cs="Times New Roman"/>
                <w:sz w:val="16"/>
                <w:szCs w:val="16"/>
              </w:rPr>
              <w:t xml:space="preserve"> · </w:t>
            </w:r>
            <w:r>
              <w:rPr>
                <w:rFonts w:ascii="Courier New" w:hAnsi="Courier New" w:cs="Courier New"/>
                <w:sz w:val="14"/>
                <w:szCs w:val="14"/>
              </w:rPr>
              <w:t xml:space="preserve">&gt;&gt;</w:t>
            </w:r>
            <w:r>
              <w:rPr>
                <w:rFonts w:ascii="Times New Roman" w:hAnsi="Times New Roman" w:cs="Times New Roman"/>
                <w:sz w:val="16"/>
                <w:szCs w:val="16"/>
              </w:rPr>
              <w:t xml:space="preserve"> · </w:t>
            </w:r>
            <w:r>
              <w:rPr>
                <w:rFonts w:ascii="Courier New" w:hAnsi="Courier New" w:cs="Courier New"/>
                <w:sz w:val="14"/>
                <w:szCs w:val="14"/>
              </w:rPr>
              <w:t xml:space="preserve">unchecked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23/23</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Unchecked Return Values</w:t>
            </w:r>
          </w:p>
        </w:tc>
        <w:tc>
          <w:tcPr>
            <w:tcW w:w="6650" w:type="dxa"/>
            <w:vAlign w:val="center"/>
          </w:tcPr>
          <w:p>
            <w:pPr>
              <w:widowControl/>
              <w:spacing w:before="6" w:after="6" w:line="240" w:lineRule="auto"/>
              <w:jc w:val="left"/>
            </w:pP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5/5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6650" w:type="dxa"/>
            <w:vAlign w:val="center"/>
          </w:tcPr>
          <w:p>
            <w:pPr>
              <w:widowControl/>
              <w:spacing w:before="6" w:after="6" w:line="240" w:lineRule="auto"/>
              <w:jc w:val="left"/>
            </w:pPr>
            <w:r>
              <w:rPr>
                <w:rFonts w:ascii="Courier New" w:hAnsi="Courier New" w:cs="Courier New"/>
                <w:sz w:val="14"/>
                <w:szCs w:val="14"/>
              </w:rPr>
              <w:t xml:space="preserve">for(</w:t>
            </w:r>
            <w:r>
              <w:rPr>
                <w:rFonts w:ascii="Times New Roman" w:hAnsi="Times New Roman" w:cs="Times New Roman"/>
                <w:sz w:val="16"/>
                <w:szCs w:val="16"/>
              </w:rPr>
              <w:t xml:space="preserve"> · </w:t>
            </w:r>
            <w:r>
              <w:rPr>
                <w:rFonts w:ascii="Courier New" w:hAnsi="Courier New" w:cs="Courier New"/>
                <w:sz w:val="14"/>
                <w:szCs w:val="14"/>
              </w:rPr>
              <w:t xml:space="preserve">while(</w:t>
            </w:r>
            <w:r>
              <w:rPr>
                <w:rFonts w:ascii="Times New Roman" w:hAnsi="Times New Roman" w:cs="Times New Roman"/>
                <w:sz w:val="16"/>
                <w:szCs w:val="16"/>
              </w:rPr>
              <w:t xml:space="preserve"> · </w:t>
            </w:r>
            <w:r>
              <w:rPr>
                <w:rFonts w:ascii="Courier New" w:hAnsi="Courier New" w:cs="Courier New"/>
                <w:sz w:val="14"/>
                <w:szCs w:val="14"/>
              </w:rPr>
              <w:t xml:space="preserve">.push(</w:t>
            </w:r>
            <w:r>
              <w:rPr>
                <w:rFonts w:ascii="Times New Roman" w:hAnsi="Times New Roman" w:cs="Times New Roman"/>
                <w:sz w:val="16"/>
                <w:szCs w:val="16"/>
              </w:rPr>
              <w:t xml:space="preserve"> · </w:t>
            </w:r>
            <w:r>
              <w:rPr>
                <w:rFonts w:ascii="Courier New" w:hAnsi="Courier New" w:cs="Courier New"/>
                <w:sz w:val="14"/>
                <w:szCs w:val="14"/>
              </w:rPr>
              <w:t xml:space="preserve">.length</w:t>
            </w:r>
            <w:r>
              <w:rPr>
                <w:rFonts w:ascii="Times New Roman" w:hAnsi="Times New Roman" w:cs="Times New Roman"/>
                <w:sz w:val="16"/>
                <w:szCs w:val="16"/>
              </w:rPr>
              <w:t xml:space="preserve"> · </w:t>
            </w:r>
            <w:r>
              <w:rPr>
                <w:rFonts w:ascii="Courier New" w:hAnsi="Courier New" w:cs="Courier New"/>
                <w:sz w:val="14"/>
                <w:szCs w:val="14"/>
              </w:rPr>
              <w:t xml:space="preserve">require(</w:t>
            </w:r>
            <w:r>
              <w:rPr>
                <w:rFonts w:ascii="Times New Roman" w:hAnsi="Times New Roman" w:cs="Times New Roman"/>
                <w:sz w:val="16"/>
                <w:szCs w:val="16"/>
              </w:rPr>
              <w:t xml:space="preserve"> · </w:t>
            </w:r>
            <w:r>
              <w:rPr>
                <w:rFonts w:ascii="Courier New" w:hAnsi="Courier New" w:cs="Courier New"/>
                <w:sz w:val="14"/>
                <w:szCs w:val="14"/>
              </w:rPr>
              <w:t xml:space="preserve">revert</w:t>
            </w:r>
            <w:r>
              <w:rPr>
                <w:rFonts w:ascii="Times New Roman" w:hAnsi="Times New Roman" w:cs="Times New Roman"/>
                <w:sz w:val="16"/>
                <w:szCs w:val="16"/>
              </w:rPr>
              <w:t xml:space="preserve"> · </w:t>
            </w:r>
            <w:r>
              <w:rPr>
                <w:rFonts w:ascii="Courier New" w:hAnsi="Courier New" w:cs="Courier New"/>
                <w:sz w:val="14"/>
                <w:szCs w:val="14"/>
              </w:rPr>
              <w:t xml:space="preserve">assert(</w:t>
            </w:r>
            <w:r>
              <w:rPr>
                <w:rFonts w:ascii="Times New Roman" w:hAnsi="Times New Roman" w:cs="Times New Roman"/>
                <w:sz w:val="16"/>
                <w:szCs w:val="16"/>
              </w:rPr>
              <w:t xml:space="preserve"> · </w:t>
            </w:r>
            <w:r>
              <w:rPr>
                <w:rFonts w:ascii="Courier New" w:hAnsi="Courier New" w:cs="Courier New"/>
                <w:sz w:val="14"/>
                <w:szCs w:val="14"/>
              </w:rPr>
              <w:t xml:space="preserve">EXT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7/7</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6650" w:type="dxa"/>
            <w:vAlign w:val="center"/>
          </w:tcPr>
          <w:p>
            <w:pPr>
              <w:widowControl/>
              <w:spacing w:before="6" w:after="6" w:line="240" w:lineRule="auto"/>
              <w:jc w:val="left"/>
            </w:pPr>
            <w:r>
              <w:rPr>
                <w:rFonts w:ascii="Courier New" w:hAnsi="Courier New" w:cs="Courier New"/>
                <w:sz w:val="14"/>
                <w:szCs w:val="14"/>
              </w:rPr>
              <w:t xml:space="preserve">blockhash</w:t>
            </w:r>
            <w:r>
              <w:rPr>
                <w:rFonts w:ascii="Times New Roman" w:hAnsi="Times New Roman" w:cs="Times New Roman"/>
                <w:sz w:val="16"/>
                <w:szCs w:val="16"/>
              </w:rPr>
              <w:t xml:space="preserve"> · </w:t>
            </w:r>
            <w:r>
              <w:rPr>
                <w:rFonts w:ascii="Courier New" w:hAnsi="Courier New" w:cs="Courier New"/>
                <w:sz w:val="14"/>
                <w:szCs w:val="14"/>
              </w:rPr>
              <w:t xml:space="preserve">block.{difficulty, coinbase, gaslimit, number, timestamp, prevrandao}</w:t>
            </w:r>
            <w:r>
              <w:rPr>
                <w:rFonts w:ascii="Times New Roman" w:hAnsi="Times New Roman" w:cs="Times New Roman"/>
                <w:sz w:val="16"/>
                <w:szCs w:val="16"/>
              </w:rPr>
              <w:t xml:space="preserve"> · </w:t>
            </w: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keccak256</w:t>
            </w:r>
            <w:r>
              <w:rPr>
                <w:rFonts w:ascii="Times New Roman" w:hAnsi="Times New Roman" w:cs="Times New Roman"/>
                <w:sz w:val="16"/>
                <w:szCs w:val="16"/>
              </w:rPr>
              <w:t xml:space="preserve"> · </w:t>
            </w:r>
            <w:r>
              <w:rPr>
                <w:rFonts w:ascii="Courier New" w:hAnsi="Courier New" w:cs="Courier New"/>
                <w:sz w:val="14"/>
                <w:szCs w:val="14"/>
              </w:rPr>
              <w:t xml:space="preserve">sha3(</w:t>
            </w:r>
            <w:r>
              <w:rPr>
                <w:rFonts w:ascii="Times New Roman" w:hAnsi="Times New Roman" w:cs="Times New Roman"/>
                <w:sz w:val="16"/>
                <w:szCs w:val="16"/>
              </w:rPr>
              <w:t xml:space="preserve"> · </w:t>
            </w:r>
            <w:r>
              <w:rPr>
                <w:rFonts w:ascii="Courier New" w:hAnsi="Courier New" w:cs="Courier New"/>
                <w:sz w:val="14"/>
                <w:szCs w:val="14"/>
              </w:rPr>
              <w:t xml:space="preserve">sha256</w:t>
            </w:r>
            <w:r>
              <w:rPr>
                <w:rFonts w:ascii="Times New Roman" w:hAnsi="Times New Roman" w:cs="Times New Roman"/>
                <w:sz w:val="16"/>
                <w:szCs w:val="16"/>
              </w:rPr>
              <w:t xml:space="preserve"> · </w:t>
            </w:r>
            <w:r>
              <w:rPr>
                <w:rFonts w:ascii="Courier New" w:hAnsi="Courier New" w:cs="Courier New"/>
                <w:sz w:val="14"/>
                <w:szCs w:val="14"/>
              </w:rPr>
              <w:t xml:space="preserve">random</w:t>
            </w:r>
            <w:r>
              <w:rPr>
                <w:rFonts w:ascii="Times New Roman" w:hAnsi="Times New Roman" w:cs="Times New Roman"/>
                <w:sz w:val="16"/>
                <w:szCs w:val="16"/>
              </w:rPr>
              <w:t xml:space="preserve"> · </w:t>
            </w:r>
            <w:r>
              <w:rPr>
                <w:rFonts w:ascii="Courier New" w:hAnsi="Courier New" w:cs="Courier New"/>
                <w:sz w:val="14"/>
                <w:szCs w:val="14"/>
              </w:rPr>
              <w:t xml:space="preserve">nonce</w:t>
            </w:r>
            <w:r>
              <w:rPr>
                <w:rFonts w:ascii="Times New Roman" w:hAnsi="Times New Roman" w:cs="Times New Roman"/>
                <w:sz w:val="16"/>
                <w:szCs w:val="16"/>
              </w:rPr>
              <w:t xml:space="preserve"> · </w:t>
            </w:r>
            <w:r>
              <w:rPr>
                <w:rFonts w:ascii="Courier New" w:hAnsi="Courier New" w:cs="Courier New"/>
                <w:sz w:val="14"/>
                <w:szCs w:val="14"/>
              </w:rPr>
              <w:t xml:space="preserve">seed</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5/5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6650" w:type="dxa"/>
            <w:vAlign w:val="center"/>
          </w:tcPr>
          <w:p>
            <w:pPr>
              <w:widowControl/>
              <w:spacing w:before="6" w:after="6" w:line="240" w:lineRule="auto"/>
              <w:jc w:val="left"/>
            </w:pPr>
            <w:r>
              <w:rPr>
                <w:rFonts w:ascii="Courier New" w:hAnsi="Courier New" w:cs="Courier New"/>
                <w:sz w:val="14"/>
                <w:szCs w:val="14"/>
              </w:rPr>
              <w:t xml:space="preserve">approve(</w:t>
            </w:r>
            <w:r>
              <w:rPr>
                <w:rFonts w:ascii="Times New Roman" w:hAnsi="Times New Roman" w:cs="Times New Roman"/>
                <w:sz w:val="16"/>
                <w:szCs w:val="16"/>
              </w:rPr>
              <w:t xml:space="preserve"> · </w:t>
            </w:r>
            <w:r>
              <w:rPr>
                <w:rFonts w:ascii="Courier New" w:hAnsi="Courier New" w:cs="Courier New"/>
                <w:sz w:val="14"/>
                <w:szCs w:val="14"/>
              </w:rPr>
              <w:t xml:space="preserve">allowance</w:t>
            </w:r>
            <w:r>
              <w:rPr>
                <w:rFonts w:ascii="Times New Roman" w:hAnsi="Times New Roman" w:cs="Times New Roman"/>
                <w:sz w:val="16"/>
                <w:szCs w:val="16"/>
              </w:rPr>
              <w:t xml:space="preserve"> · </w:t>
            </w:r>
            <w:r>
              <w:rPr>
                <w:rFonts w:ascii="Courier New" w:hAnsi="Courier New" w:cs="Courier New"/>
                <w:sz w:val="14"/>
                <w:szCs w:val="14"/>
              </w:rPr>
              <w:t xml:space="preserve">msg.value</w:t>
            </w:r>
            <w:r>
              <w:rPr>
                <w:rFonts w:ascii="Times New Roman" w:hAnsi="Times New Roman" w:cs="Times New Roman"/>
                <w:sz w:val="16"/>
                <w:szCs w:val="16"/>
              </w:rPr>
              <w:t xml:space="preserve"> · </w:t>
            </w:r>
            <w:r>
              <w:rPr>
                <w:rFonts w:ascii="Courier New" w:hAnsi="Courier New" w:cs="Courier New"/>
                <w:sz w:val="14"/>
                <w:szCs w:val="14"/>
              </w:rPr>
              <w:t xml:space="preserve">tx.gasprice</w:t>
            </w:r>
            <w:r>
              <w:rPr>
                <w:rFonts w:ascii="Times New Roman" w:hAnsi="Times New Roman" w:cs="Times New Roman"/>
                <w:sz w:val="16"/>
                <w:szCs w:val="16"/>
              </w:rPr>
              <w:t xml:space="preserve"> · </w:t>
            </w:r>
            <w:r>
              <w:rPr>
                <w:rFonts w:ascii="Courier New" w:hAnsi="Courier New" w:cs="Courier New"/>
                <w:sz w:val="14"/>
                <w:szCs w:val="14"/>
              </w:rPr>
              <w:t xml:space="preserve">price</w:t>
            </w:r>
            <w:r>
              <w:rPr>
                <w:rFonts w:ascii="Times New Roman" w:hAnsi="Times New Roman" w:cs="Times New Roman"/>
                <w:sz w:val="16"/>
                <w:szCs w:val="16"/>
              </w:rPr>
              <w:t xml:space="preserve"> · </w:t>
            </w:r>
            <w:r>
              <w:rPr>
                <w:rFonts w:ascii="Courier New" w:hAnsi="Courier New" w:cs="Courier New"/>
                <w:sz w:val="14"/>
                <w:szCs w:val="14"/>
              </w:rPr>
              <w:t xml:space="preserve">bid</w:t>
            </w:r>
            <w:r>
              <w:rPr>
                <w:rFonts w:ascii="Times New Roman" w:hAnsi="Times New Roman" w:cs="Times New Roman"/>
                <w:sz w:val="16"/>
                <w:szCs w:val="16"/>
              </w:rPr>
              <w:t xml:space="preserve"> · </w:t>
            </w:r>
            <w:r>
              <w:rPr>
                <w:rFonts w:ascii="Courier New" w:hAnsi="Courier New" w:cs="Courier New"/>
                <w:sz w:val="14"/>
                <w:szCs w:val="14"/>
              </w:rPr>
              <w:t xml:space="preserve">swap*(</w:t>
            </w:r>
            <w:r>
              <w:rPr>
                <w:rFonts w:ascii="Times New Roman" w:hAnsi="Times New Roman" w:cs="Times New Roman"/>
                <w:sz w:val="16"/>
                <w:szCs w:val="16"/>
              </w:rPr>
              <w:t xml:space="preserve"> · </w:t>
            </w:r>
            <w:r>
              <w:rPr>
                <w:rFonts w:ascii="Courier New" w:hAnsi="Courier New" w:cs="Courier New"/>
                <w:sz w:val="14"/>
                <w:szCs w:val="14"/>
              </w:rPr>
              <w:t xml:space="preserve">slippage</w:t>
            </w:r>
            <w:r>
              <w:rPr>
                <w:rFonts w:ascii="Times New Roman" w:hAnsi="Times New Roman" w:cs="Times New Roman"/>
                <w:sz w:val="16"/>
                <w:szCs w:val="16"/>
              </w:rPr>
              <w:t xml:space="preserve"> · </w:t>
            </w:r>
            <w:r>
              <w:rPr>
                <w:rFonts w:ascii="Courier New" w:hAnsi="Courier New" w:cs="Courier New"/>
                <w:sz w:val="14"/>
                <w:szCs w:val="14"/>
              </w:rPr>
              <w:t xml:space="preserve">amountOutMin</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reserve</w:t>
            </w:r>
            <w:r>
              <w:rPr>
                <w:rFonts w:ascii="Times New Roman" w:hAnsi="Times New Roman" w:cs="Times New Roman"/>
                <w:sz w:val="16"/>
                <w:szCs w:val="16"/>
              </w:rPr>
              <w:t xml:space="preserve"> · </w:t>
            </w:r>
            <w:r>
              <w:rPr>
                <w:rFonts w:ascii="Courier New" w:hAnsi="Courier New" w:cs="Courier New"/>
                <w:sz w:val="14"/>
                <w:szCs w:val="14"/>
              </w:rPr>
              <w:t xml:space="preserve">MUTFN</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view/pure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5/5</w:t>
            </w:r>
          </w:p>
        </w:tc>
      </w:tr>
      <w:tr>
        <w:trPr>
          <w:cantSplit/>
        </w:trPr>
        <w:tc>
          <w:tcPr>
            <w:tcW w:w="1560"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6650" w:type="dxa"/>
            <w:vAlign w:val="center"/>
          </w:tcPr>
          <w:p>
            <w:pPr>
              <w:widowControl/>
              <w:spacing w:before="6" w:after="6" w:line="240" w:lineRule="auto"/>
              <w:jc w:val="left"/>
            </w:pPr>
            <w:r>
              <w:rPr>
                <w:rFonts w:ascii="Courier New" w:hAnsi="Courier New" w:cs="Courier New"/>
                <w:sz w:val="14"/>
                <w:szCs w:val="14"/>
              </w:rPr>
              <w:t xml:space="preserve">now</w:t>
            </w:r>
            <w:r>
              <w:rPr>
                <w:rFonts w:ascii="Times New Roman" w:hAnsi="Times New Roman" w:cs="Times New Roman"/>
                <w:sz w:val="16"/>
                <w:szCs w:val="16"/>
              </w:rPr>
              <w:t xml:space="preserve"> · </w:t>
            </w:r>
            <w:r>
              <w:rPr>
                <w:rFonts w:ascii="Courier New" w:hAnsi="Courier New" w:cs="Courier New"/>
                <w:sz w:val="14"/>
                <w:szCs w:val="14"/>
              </w:rPr>
              <w:t xml:space="preserve">block.timestamp</w:t>
            </w:r>
            <w:r>
              <w:rPr>
                <w:rFonts w:ascii="Times New Roman" w:hAnsi="Times New Roman" w:cs="Times New Roman"/>
                <w:sz w:val="16"/>
                <w:szCs w:val="16"/>
              </w:rPr>
              <w:t xml:space="preserve"> · </w:t>
            </w:r>
            <w:r>
              <w:rPr>
                <w:rFonts w:ascii="Courier New" w:hAnsi="Courier New" w:cs="Courier New"/>
                <w:sz w:val="14"/>
                <w:szCs w:val="14"/>
              </w:rPr>
              <w:t xml:space="preserve">block.number</w:t>
            </w:r>
            <w:r>
              <w:rPr>
                <w:rFonts w:ascii="Times New Roman" w:hAnsi="Times New Roman" w:cs="Times New Roman"/>
                <w:sz w:val="16"/>
                <w:szCs w:val="16"/>
              </w:rPr>
              <w:t xml:space="preserve"> · </w:t>
            </w:r>
            <w:r>
              <w:rPr>
                <w:rFonts w:ascii="Courier New" w:hAnsi="Courier New" w:cs="Courier New"/>
                <w:sz w:val="14"/>
                <w:szCs w:val="14"/>
              </w:rPr>
              <w:t xml:space="preserve">N {days, hours, minutes, seconds, weeks}</w:t>
            </w:r>
            <w:r>
              <w:rPr>
                <w:rFonts w:ascii="Times New Roman" w:hAnsi="Times New Roman" w:cs="Times New Roman"/>
                <w:sz w:val="16"/>
                <w:szCs w:val="16"/>
              </w:rPr>
              <w:t xml:space="preserve"> · </w:t>
            </w:r>
            <w:r>
              <w:rPr>
                <w:rFonts w:ascii="Courier New" w:hAnsi="Courier New" w:cs="Courier New"/>
                <w:sz w:val="14"/>
                <w:szCs w:val="14"/>
              </w:rPr>
              <w:t xml:space="preserve">deadline</w:t>
            </w:r>
            <w:r>
              <w:rPr>
                <w:rFonts w:ascii="Times New Roman" w:hAnsi="Times New Roman" w:cs="Times New Roman"/>
                <w:sz w:val="16"/>
                <w:szCs w:val="16"/>
              </w:rPr>
              <w:t xml:space="preserve"> · </w:t>
            </w:r>
            <w:r>
              <w:rPr>
                <w:rFonts w:ascii="Courier New" w:hAnsi="Courier New" w:cs="Courier New"/>
                <w:sz w:val="14"/>
                <w:szCs w:val="14"/>
              </w:rPr>
              <w:t xml:space="preserve">startTime</w:t>
            </w:r>
            <w:r>
              <w:rPr>
                <w:rFonts w:ascii="Times New Roman" w:hAnsi="Times New Roman" w:cs="Times New Roman"/>
                <w:sz w:val="16"/>
                <w:szCs w:val="16"/>
              </w:rPr>
              <w:t xml:space="preserve"> · </w:t>
            </w:r>
            <w:r>
              <w:rPr>
                <w:rFonts w:ascii="Courier New" w:hAnsi="Courier New" w:cs="Courier New"/>
                <w:sz w:val="14"/>
                <w:szCs w:val="14"/>
              </w:rPr>
              <w:t xml:space="preserve">endTime</w:t>
            </w:r>
            <w:r>
              <w:rPr>
                <w:rFonts w:ascii="Times New Roman" w:hAnsi="Times New Roman" w:cs="Times New Roman"/>
                <w:sz w:val="16"/>
                <w:szCs w:val="16"/>
              </w:rPr>
              <w:t xml:space="preserve"> · </w:t>
            </w:r>
            <w:r>
              <w:rPr>
                <w:rFonts w:ascii="Courier New" w:hAnsi="Courier New" w:cs="Courier New"/>
                <w:sz w:val="14"/>
                <w:szCs w:val="14"/>
              </w:rPr>
              <w:t xml:space="preserve">cooldown</w:t>
            </w:r>
            <w:r>
              <w:rPr>
                <w:rFonts w:ascii="Times New Roman" w:hAnsi="Times New Roman" w:cs="Times New Roman"/>
                <w:sz w:val="16"/>
                <w:szCs w:val="16"/>
              </w:rPr>
              <w:t xml:space="preserve"> · </w:t>
            </w:r>
            <w:r>
              <w:rPr>
                <w:rFonts w:ascii="Courier New" w:hAnsi="Courier New" w:cs="Courier New"/>
                <w:sz w:val="14"/>
                <w:szCs w:val="14"/>
              </w:rPr>
              <w:t xml:space="preserve">lastClaim</w:t>
            </w:r>
            <w:r>
              <w:rPr>
                <w:rFonts w:ascii="Times New Roman" w:hAnsi="Times New Roman" w:cs="Times New Roman"/>
                <w:sz w:val="16"/>
                <w:szCs w:val="16"/>
              </w:rPr>
              <w:t xml:space="preserve"> · </w:t>
            </w:r>
            <w:r>
              <w:rPr>
                <w:rFonts w:ascii="Courier New" w:hAnsi="Courier New" w:cs="Courier New"/>
                <w:sz w:val="14"/>
                <w:szCs w:val="14"/>
              </w:rPr>
              <w:t xml:space="preserve">timeout</w:t>
            </w:r>
          </w:p>
        </w:tc>
        <w:tc>
          <w:tcPr>
            <w:tcW w:w="800" w:type="dxa"/>
            <w:vAlign w:val="center"/>
          </w:tcPr>
          <w:p>
            <w:pPr>
              <w:widowControl/>
              <w:spacing w:before="6" w:after="6" w:line="240" w:lineRule="auto"/>
              <w:jc w:val="center"/>
            </w:pPr>
            <w:r>
              <w:rPr>
                <w:rFonts w:ascii="Times New Roman" w:hAnsi="Times New Roman" w:cs="Times New Roman"/>
                <w:sz w:val="16"/>
                <w:szCs w:val="16"/>
              </w:rPr>
              <w:t xml:space="preserve">–</w:t>
            </w:r>
          </w:p>
        </w:tc>
        <w:tc>
          <w:tcPr>
            <w:tcW w:w="850" w:type="dxa"/>
            <w:vAlign w:val="center"/>
          </w:tcPr>
          <w:p>
            <w:pPr>
              <w:widowControl/>
              <w:spacing w:before="6" w:after="6" w:line="240" w:lineRule="auto"/>
              <w:jc w:val="right"/>
            </w:pPr>
            <w:r>
              <w:rPr>
                <w:rFonts w:ascii="Times New Roman" w:hAnsi="Times New Roman" w:cs="Times New Roman"/>
                <w:sz w:val="16"/>
                <w:szCs w:val="16"/>
              </w:rPr>
              <w:t xml:space="preserve">13/13</w:t>
            </w:r>
          </w:p>
        </w:tc>
      </w:tr>
      <w:tr>
        <w:trPr>
          <w:cantSplit/>
        </w:trPr>
        <w:tc>
          <w:tcPr>
            <w:tcW w:w="1560"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 categories</w:t>
            </w:r>
          </w:p>
        </w:tc>
        <w:tc>
          <w:tcPr>
            <w:tcW w:w="6650" w:type="dxa"/>
            <w:tcBorders>
              <w:top w:val="single" w:sz="8" w:space="0" w:color="000000"/>
            </w:tcBorders>
            <w:vAlign w:val="center"/>
          </w:tcPr>
          <w:p>
            <w:pPr>
              <w:widowControl/>
              <w:spacing w:before="6" w:after="6" w:line="240" w:lineRule="auto"/>
              <w:jc w:val="left"/>
            </w:pPr>
          </w:p>
        </w:tc>
        <w:tc>
          <w:tcPr>
            <w:tcW w:w="800" w:type="dxa"/>
            <w:tcBorders>
              <w:top w:val="single" w:sz="8" w:space="0" w:color="000000"/>
            </w:tcBorders>
            <w:vAlign w:val="center"/>
          </w:tcPr>
          <w:p>
            <w:pPr>
              <w:widowControl/>
              <w:spacing w:before="6" w:after="6" w:line="240" w:lineRule="auto"/>
              <w:jc w:val="center"/>
            </w:pPr>
          </w:p>
        </w:tc>
        <w:tc>
          <w:tcPr>
            <w:tcW w:w="85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119/119</w:t>
            </w:r>
          </w:p>
        </w:tc>
      </w:tr>
    </w:tbl>
    <w:p>
      <w:pPr>
        <w:widowControl/>
        <w:spacing w:before="30" w:after="100" w:line="240" w:lineRule="auto"/>
        <w:jc w:val="both"/>
      </w:pPr>
      <w:r>
        <w:rPr>
          <w:rFonts w:ascii="Courier New" w:hAnsi="Courier New" w:cs="Courier New"/>
          <w:sz w:val="12"/>
          <w:szCs w:val="12"/>
        </w:rPr>
        <w:t xml:space="preserve">EXT</w:t>
      </w:r>
      <w:r>
        <w:rPr>
          <w:rFonts w:ascii="Times New Roman" w:hAnsi="Times New Roman" w:cs="Times New Roman"/>
          <w:sz w:val="14"/>
          <w:szCs w:val="14"/>
        </w:rPr>
        <w:t xml:space="preserve"> matches low-level calls (</w:t>
      </w:r>
      <w:r>
        <w:rPr>
          <w:rFonts w:ascii="Courier New" w:hAnsi="Courier New" w:cs="Courier New"/>
          <w:sz w:val="12"/>
          <w:szCs w:val="12"/>
        </w:rPr>
        <w:t xml:space="preserve">.call</w:t>
      </w:r>
      <w:r>
        <w:rPr>
          <w:rFonts w:ascii="Times New Roman" w:hAnsi="Times New Roman" w:cs="Times New Roman"/>
          <w:sz w:val="14"/>
          <w:szCs w:val="14"/>
        </w:rPr>
        <w:t xml:space="preserve">, </w:t>
      </w:r>
      <w:r>
        <w:rPr>
          <w:rFonts w:ascii="Courier New" w:hAnsi="Courier New" w:cs="Courier New"/>
          <w:sz w:val="12"/>
          <w:szCs w:val="12"/>
        </w:rPr>
        <w:t xml:space="preserve">.call.value</w:t>
      </w:r>
      <w:r>
        <w:rPr>
          <w:rFonts w:ascii="Times New Roman" w:hAnsi="Times New Roman" w:cs="Times New Roman"/>
          <w:sz w:val="14"/>
          <w:szCs w:val="14"/>
        </w:rPr>
        <w:t xml:space="preserve">, </w:t>
      </w:r>
      <w:r>
        <w:rPr>
          <w:rFonts w:ascii="Courier New" w:hAnsi="Courier New" w:cs="Courier New"/>
          <w:sz w:val="12"/>
          <w:szCs w:val="12"/>
        </w:rPr>
        <w:t xml:space="preserve">.send</w:t>
      </w:r>
      <w:r>
        <w:rPr>
          <w:rFonts w:ascii="Times New Roman" w:hAnsi="Times New Roman" w:cs="Times New Roman"/>
          <w:sz w:val="14"/>
          <w:szCs w:val="14"/>
        </w:rPr>
        <w:t xml:space="preserve">, </w:t>
      </w:r>
      <w:r>
        <w:rPr>
          <w:rFonts w:ascii="Courier New" w:hAnsi="Courier New" w:cs="Courier New"/>
          <w:sz w:val="12"/>
          <w:szCs w:val="12"/>
        </w:rPr>
        <w:t xml:space="preserve">.transfer</w:t>
      </w:r>
      <w:r>
        <w:rPr>
          <w:rFonts w:ascii="Times New Roman" w:hAnsi="Times New Roman" w:cs="Times New Roman"/>
          <w:sz w:val="14"/>
          <w:szCs w:val="14"/>
        </w:rPr>
        <w:t xml:space="preserve">, </w:t>
      </w:r>
      <w:r>
        <w:rPr>
          <w:rFonts w:ascii="Courier New" w:hAnsi="Courier New" w:cs="Courier New"/>
          <w:sz w:val="12"/>
          <w:szCs w:val="12"/>
        </w:rPr>
        <w:t xml:space="preserve">delegatecall</w:t>
      </w:r>
      <w:r>
        <w:rPr>
          <w:rFonts w:ascii="Times New Roman" w:hAnsi="Times New Roman" w:cs="Times New Roman"/>
          <w:sz w:val="14"/>
          <w:szCs w:val="14"/>
        </w:rPr>
        <w:t xml:space="preserve">, </w:t>
      </w:r>
      <w:r>
        <w:rPr>
          <w:rFonts w:ascii="Courier New" w:hAnsi="Courier New" w:cs="Courier New"/>
          <w:sz w:val="12"/>
          <w:szCs w:val="12"/>
        </w:rPr>
        <w:t xml:space="preserve">staticcall</w:t>
      </w:r>
      <w:r>
        <w:rPr>
          <w:rFonts w:ascii="Times New Roman" w:hAnsi="Times New Roman" w:cs="Times New Roman"/>
          <w:sz w:val="14"/>
          <w:szCs w:val="14"/>
        </w:rPr>
        <w:t xml:space="preserve">), calls through an interface cast, </w:t>
      </w:r>
      <w:r>
        <w:rPr>
          <w:rFonts w:ascii="Courier New" w:hAnsi="Courier New" w:cs="Courier New"/>
          <w:sz w:val="12"/>
          <w:szCs w:val="12"/>
        </w:rPr>
        <w:t xml:space="preserve">transferFrom</w:t>
      </w:r>
      <w:r>
        <w:rPr>
          <w:rFonts w:ascii="Times New Roman" w:hAnsi="Times New Roman" w:cs="Times New Roman"/>
          <w:sz w:val="14"/>
          <w:szCs w:val="14"/>
        </w:rPr>
        <w:t xml:space="preserve">/</w:t>
      </w:r>
      <w:r>
        <w:rPr>
          <w:rFonts w:ascii="Courier New" w:hAnsi="Courier New" w:cs="Courier New"/>
          <w:sz w:val="12"/>
          <w:szCs w:val="12"/>
        </w:rPr>
        <w:t xml:space="preserve">_transfer</w:t>
      </w:r>
      <w:r>
        <w:rPr>
          <w:rFonts w:ascii="Times New Roman" w:hAnsi="Times New Roman" w:cs="Times New Roman"/>
          <w:sz w:val="14"/>
          <w:szCs w:val="14"/>
        </w:rPr>
        <w:t xml:space="preserve">, swap and add-liquidity calls, </w:t>
      </w:r>
      <w:r>
        <w:rPr>
          <w:rFonts w:ascii="Courier New" w:hAnsi="Courier New" w:cs="Courier New"/>
          <w:sz w:val="12"/>
          <w:szCs w:val="12"/>
        </w:rPr>
        <w:t xml:space="preserve">payable(</w:t>
      </w:r>
      <w:r>
        <w:rPr>
          <w:rFonts w:ascii="Times New Roman" w:hAnsi="Times New Roman" w:cs="Times New Roman"/>
          <w:sz w:val="14"/>
          <w:szCs w:val="14"/>
        </w:rPr>
        <w:t xml:space="preserve"> conversions, inline </w:t>
      </w:r>
      <w:r>
        <w:rPr>
          <w:rFonts w:ascii="Courier New" w:hAnsi="Courier New" w:cs="Courier New"/>
          <w:sz w:val="12"/>
          <w:szCs w:val="12"/>
        </w:rPr>
        <w:t xml:space="preserve">assembly</w:t>
      </w:r>
      <w:r>
        <w:rPr>
          <w:rFonts w:ascii="Times New Roman" w:hAnsi="Times New Roman" w:cs="Times New Roman"/>
          <w:sz w:val="14"/>
          <w:szCs w:val="14"/>
        </w:rPr>
        <w:t xml:space="preserve">, and calls on any receiver that is not a language builtin. </w:t>
      </w:r>
      <w:r>
        <w:rPr>
          <w:rFonts w:ascii="Courier New" w:hAnsi="Courier New" w:cs="Courier New"/>
          <w:sz w:val="12"/>
          <w:szCs w:val="12"/>
        </w:rPr>
        <w:t xml:space="preserve">MUTFN</w:t>
      </w:r>
      <w:r>
        <w:rPr>
          <w:rFonts w:ascii="Times New Roman" w:hAnsi="Times New Roman" w:cs="Times New Roman"/>
          <w:sz w:val="14"/>
          <w:szCs w:val="14"/>
        </w:rPr>
        <w:t xml:space="preserve"> matches any public or external function not declared </w:t>
      </w:r>
      <w:r>
        <w:rPr>
          <w:rFonts w:ascii="Courier New" w:hAnsi="Courier New" w:cs="Courier New"/>
          <w:sz w:val="12"/>
          <w:szCs w:val="12"/>
        </w:rPr>
        <w:t xml:space="preserve">view</w:t>
      </w:r>
      <w:r>
        <w:rPr>
          <w:rFonts w:ascii="Times New Roman" w:hAnsi="Times New Roman" w:cs="Times New Roman"/>
          <w:sz w:val="14"/>
          <w:szCs w:val="14"/>
        </w:rPr>
        <w:t xml:space="preserve"> or </w:t>
      </w:r>
      <w:r>
        <w:rPr>
          <w:rFonts w:ascii="Courier New" w:hAnsi="Courier New" w:cs="Courier New"/>
          <w:sz w:val="12"/>
          <w:szCs w:val="12"/>
        </w:rPr>
        <w:t xml:space="preserve">pure</w:t>
      </w:r>
      <w:r>
        <w:rPr>
          <w:rFonts w:ascii="Times New Roman" w:hAnsi="Times New Roman" w:cs="Times New Roman"/>
          <w:sz w:val="14"/>
          <w:szCs w:val="14"/>
        </w:rPr>
        <w:t xml:space="preserve">. The gate column names the only semantic restriction retained after ablation. Retained counts the label-positive contracts that keep at least one block tagged with the category.</w:t>
      </w:r>
    </w:p>
    <w:p>
      <w:pPr>
        <w:widowControl/>
        <w:spacing w:before="0" w:after="40" w:line="240" w:lineRule="auto"/>
        <w:jc w:val="both"/>
        <w:sectPr>
          <w:type w:val="continuous"/>
          <w:pgSz w:w="11906" w:h="16838"/>
          <w:pgMar w:top="1077" w:right="1021" w:bottom="1418" w:left="1021" w:header="720" w:footer="720" w:gutter="0"/>
          <w:cols w:space="397"/>
        </w:sectPr>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A. Design Principles</w:t>
      </w:r>
    </w:p>
    <w:p>
      <w:pPr>
        <w:widowControl/>
        <w:spacing w:before="0" w:after="0" w:line="240" w:lineRule="auto"/>
        <w:jc w:val="both"/>
      </w:pPr>
      <w:r>
        <w:rPr>
          <w:rFonts w:ascii="Times New Roman" w:hAnsi="Times New Roman" w:cs="Times New Roman"/>
          <w:sz w:val="20"/>
          <w:szCs w:val="20"/>
        </w:rPr>
        <w:t xml:space="preserve">Three requirements shaped the design. The slicer must be fully static, deciding everything with regular expressions and brace counting, because a slicer that consulted a model would spend the budget it is meant to save. It must emit each region at most once: eight independent category passes would overlap heavily, so AnchorSlice makes a single pass and attaches a set of candidate categories to each region (Algorithm 1, lines 4–13). Finally, it must be detector-agnostic, emitting ordinary Solidity text with comment headers that any source-level detector can read.</w:t>
      </w:r>
    </w:p>
    <w:p>
      <w:pPr>
        <w:keepNext/>
        <w:keepLines/>
        <w:widowControl/>
        <w:spacing w:before="100" w:after="60" w:line="240" w:lineRule="auto"/>
        <w:jc w:val="left"/>
      </w:pPr>
      <w:r>
        <w:rPr>
          <w:rFonts w:ascii="Times New Roman" w:hAnsi="Times New Roman" w:cs="Times New Roman"/>
          <w:i/>
          <w:sz w:val="20"/>
          <w:szCs w:val="20"/>
        </w:rPr>
        <w:t xml:space="preserve">B. Lexical Anchors and the Visibility Gate</w:t>
      </w:r>
    </w:p>
    <w:p>
      <w:pPr>
        <w:widowControl/>
        <w:spacing w:before="0" w:after="0" w:line="240" w:lineRule="auto"/>
        <w:jc w:val="both"/>
      </w:pPr>
      <w:r>
        <w:rPr>
          <w:rFonts w:ascii="Times New Roman" w:hAnsi="Times New Roman" w:cs="Times New Roman"/>
          <w:sz w:val="20"/>
          <w:szCs w:val="20"/>
        </w:rPr>
        <w:t xml:space="preserve">Each category owns anchor expressions, listed in Table I, and a line that matches one marks its enclosing region as a candidate for that category (line 7). Two macros carry most of the weight. </w:t>
      </w:r>
      <w:r>
        <w:rPr>
          <w:rFonts w:ascii="Courier New" w:hAnsi="Courier New" w:cs="Courier New"/>
          <w:sz w:val="18"/>
          <w:szCs w:val="18"/>
        </w:rPr>
        <w:t xml:space="preserve">EXT</w:t>
      </w:r>
      <w:r>
        <w:rPr>
          <w:rFonts w:ascii="Times New Roman" w:hAnsi="Times New Roman" w:cs="Times New Roman"/>
          <w:sz w:val="20"/>
          <w:szCs w:val="20"/>
        </w:rPr>
        <w:t xml:space="preserve"> matches external and cross-contract calls, including low-level </w:t>
      </w:r>
      <w:r>
        <w:rPr>
          <w:rFonts w:ascii="Courier New" w:hAnsi="Courier New" w:cs="Courier New"/>
          <w:sz w:val="18"/>
          <w:szCs w:val="18"/>
        </w:rPr>
        <w:t xml:space="preserve">call</w:t>
      </w:r>
      <w:r>
        <w:rPr>
          <w:rFonts w:ascii="Times New Roman" w:hAnsi="Times New Roman" w:cs="Times New Roman"/>
          <w:sz w:val="20"/>
          <w:szCs w:val="20"/>
        </w:rPr>
        <w:t xml:space="preserve">, </w:t>
      </w:r>
      <w:r>
        <w:rPr>
          <w:rFonts w:ascii="Courier New" w:hAnsi="Courier New" w:cs="Courier New"/>
          <w:sz w:val="18"/>
          <w:szCs w:val="18"/>
        </w:rPr>
        <w:t xml:space="preserve">send</w:t>
      </w:r>
      <w:r>
        <w:rPr>
          <w:rFonts w:ascii="Times New Roman" w:hAnsi="Times New Roman" w:cs="Times New Roman"/>
          <w:sz w:val="20"/>
          <w:szCs w:val="20"/>
        </w:rPr>
        <w:t xml:space="preserve">, </w:t>
      </w:r>
      <w:r>
        <w:rPr>
          <w:rFonts w:ascii="Courier New" w:hAnsi="Courier New" w:cs="Courier New"/>
          <w:sz w:val="18"/>
          <w:szCs w:val="18"/>
        </w:rPr>
        <w:t xml:space="preserve">transfer</w:t>
      </w:r>
      <w:r>
        <w:rPr>
          <w:rFonts w:ascii="Times New Roman" w:hAnsi="Times New Roman" w:cs="Times New Roman"/>
          <w:sz w:val="20"/>
          <w:szCs w:val="20"/>
        </w:rPr>
        <w:t xml:space="preserve">, </w:t>
      </w:r>
      <w:r>
        <w:rPr>
          <w:rFonts w:ascii="Courier New" w:hAnsi="Courier New" w:cs="Courier New"/>
          <w:sz w:val="18"/>
          <w:szCs w:val="18"/>
        </w:rPr>
        <w:t xml:space="preserve">delegatecall</w:t>
      </w:r>
      <w:r>
        <w:rPr>
          <w:rFonts w:ascii="Times New Roman" w:hAnsi="Times New Roman" w:cs="Times New Roman"/>
          <w:sz w:val="20"/>
          <w:szCs w:val="20"/>
        </w:rPr>
        <w:t xml:space="preserve"> and </w:t>
      </w:r>
      <w:r>
        <w:rPr>
          <w:rFonts w:ascii="Courier New" w:hAnsi="Courier New" w:cs="Courier New"/>
          <w:sz w:val="18"/>
          <w:szCs w:val="18"/>
        </w:rPr>
        <w:t xml:space="preserve">staticcall</w:t>
      </w:r>
      <w:r>
        <w:rPr>
          <w:rFonts w:ascii="Times New Roman" w:hAnsi="Times New Roman" w:cs="Times New Roman"/>
          <w:sz w:val="20"/>
          <w:szCs w:val="20"/>
        </w:rPr>
        <w:t xml:space="preserve"> forms and calls through interface casts. </w:t>
      </w:r>
      <w:r>
        <w:rPr>
          <w:rFonts w:ascii="Courier New" w:hAnsi="Courier New" w:cs="Courier New"/>
          <w:sz w:val="18"/>
          <w:szCs w:val="18"/>
        </w:rPr>
        <w:t xml:space="preserve">MUTFN</w:t>
      </w:r>
      <w:r>
        <w:rPr>
          <w:rFonts w:ascii="Times New Roman" w:hAnsi="Times New Roman" w:cs="Times New Roman"/>
          <w:sz w:val="20"/>
          <w:szCs w:val="20"/>
        </w:rPr>
        <w:t xml:space="preserve"> matches every public or external function not declared </w:t>
      </w:r>
      <w:r>
        <w:rPr>
          <w:rFonts w:ascii="Courier New" w:hAnsi="Courier New" w:cs="Courier New"/>
          <w:sz w:val="18"/>
          <w:szCs w:val="18"/>
        </w:rPr>
        <w:t xml:space="preserve">view</w:t>
      </w:r>
      <w:r>
        <w:rPr>
          <w:rFonts w:ascii="Times New Roman" w:hAnsi="Times New Roman" w:cs="Times New Roman"/>
          <w:sz w:val="20"/>
          <w:szCs w:val="20"/>
        </w:rPr>
        <w:t xml:space="preserve"> or </w:t>
      </w:r>
      <w:r>
        <w:rPr>
          <w:rFonts w:ascii="Courier New" w:hAnsi="Courier New" w:cs="Courier New"/>
          <w:sz w:val="18"/>
          <w:szCs w:val="18"/>
        </w:rPr>
        <w:t xml:space="preserve">pure</w:t>
      </w:r>
      <w:r>
        <w:rPr>
          <w:rFonts w:ascii="Times New Roman" w:hAnsi="Times New Roman" w:cs="Times New Roman"/>
          <w:sz w:val="20"/>
          <w:szCs w:val="20"/>
        </w:rPr>
        <w:t xml:space="preserve">, the only static way to surface access-control faults that consist of a missing modifier.</w:t>
      </w:r>
    </w:p>
    <w:p>
      <w:pPr>
        <w:widowControl/>
        <w:spacing w:before="0" w:after="0" w:line="240" w:lineRule="auto"/>
        <w:ind w:left="0" w:firstLine="200"/>
        <w:jc w:val="both"/>
      </w:pPr>
      <w:r>
        <w:rPr>
          <w:rFonts w:ascii="Times New Roman" w:hAnsi="Times New Roman" w:cs="Times New Roman"/>
          <w:sz w:val="20"/>
          <w:szCs w:val="20"/>
        </w:rPr>
        <w:t xml:space="preserve">We evaluated five semantic gates for suppressing safe regions and retained one. Suppressing arithmetic candidates under Solidity 0.8 cut arithmetic retention from 1.00 to 0.43, requiring a state write before a reentrancy candidate cut it from 0.91 to 0.36, and treating a call wrapped in </w:t>
      </w:r>
      <w:r>
        <w:rPr>
          <w:rFonts w:ascii="Courier New" w:hAnsi="Courier New" w:cs="Courier New"/>
          <w:sz w:val="18"/>
          <w:szCs w:val="18"/>
        </w:rPr>
        <w:t xml:space="preserve">require</w:t>
      </w:r>
      <w:r>
        <w:rPr>
          <w:rFonts w:ascii="Times New Roman" w:hAnsi="Times New Roman" w:cs="Times New Roman"/>
          <w:sz w:val="20"/>
          <w:szCs w:val="20"/>
        </w:rPr>
        <w:t xml:space="preserve"> as checked cut unchecked-return retention from 0.60 to 0.20, because the benchmark labels such cases positive. Only the visibility gate survived: excluding </w:t>
      </w:r>
      <w:r>
        <w:rPr>
          <w:rFonts w:ascii="Courier New" w:hAnsi="Courier New" w:cs="Courier New"/>
          <w:sz w:val="18"/>
          <w:szCs w:val="18"/>
        </w:rPr>
        <w:t xml:space="preserve">view</w:t>
      </w:r>
      <w:r>
        <w:rPr>
          <w:rFonts w:ascii="Times New Roman" w:hAnsi="Times New Roman" w:cs="Times New Roman"/>
          <w:sz w:val="20"/>
          <w:szCs w:val="20"/>
        </w:rPr>
        <w:t xml:space="preserve"> and </w:t>
      </w:r>
      <w:r>
        <w:rPr>
          <w:rFonts w:ascii="Courier New" w:hAnsi="Courier New" w:cs="Courier New"/>
          <w:sz w:val="18"/>
          <w:szCs w:val="18"/>
        </w:rPr>
        <w:t xml:space="preserve">pure</w:t>
      </w:r>
      <w:r>
        <w:rPr>
          <w:rFonts w:ascii="Times New Roman" w:hAnsi="Times New Roman" w:cs="Times New Roman"/>
          <w:sz w:val="20"/>
          <w:szCs w:val="20"/>
        </w:rPr>
        <w:t xml:space="preserve"> bodies from the five state-dependent categories cost no retention (line 5). The rejected gates were sound Solidity reasoning but disagreed with the benchmark's annotation policy, a reminder that a slicer tuned to a dataset inherits its conventions.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300"/>
        <w:gridCol w:w="4431"/>
      </w:tblGrid>
      <w:tr>
        <w:trPr>
          <w:cantSplit/>
        </w:trPr>
        <w:tc>
          <w:tcPr>
            <w:tcW w:w="4731" w:type="dxa"/>
            <w:gridSpan w:val="2"/>
            <w:tcBorders>
              <w:bottom w:val="single" w:sz="8" w:space="0" w:color="000000"/>
            </w:tcBorders>
            <w:vAlign w:val="center"/>
          </w:tcPr>
          <w:p>
            <w:pPr>
              <w:widowControl/>
              <w:spacing w:before="20" w:after="20" w:line="240" w:lineRule="auto"/>
              <w:jc w:val="left"/>
            </w:pPr>
            <w:r>
              <w:rPr>
                <w:rFonts w:ascii="Times New Roman" w:hAnsi="Times New Roman" w:cs="Times New Roman"/>
                <w:b/>
                <w:sz w:val="16"/>
                <w:szCs w:val="16"/>
              </w:rPr>
              <w:t xml:space="preserve">Algorithm 1.</w:t>
            </w:r>
            <w:r>
              <w:rPr>
                <w:rFonts w:ascii="Times New Roman" w:hAnsi="Times New Roman" w:cs="Times New Roman"/>
                <w:sz w:val="16"/>
                <w:szCs w:val="16"/>
              </w:rPr>
              <w:t xml:space="preserve">  AnchorSlice</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Input: </w:t>
            </w:r>
            <w:r>
              <w:rPr>
                <w:rFonts w:ascii="Times New Roman" w:hAnsi="Times New Roman" w:cs="Times New Roman"/>
                <w:sz w:val="15"/>
                <w:szCs w:val="15"/>
              </w:rPr>
              <w:t xml:space="preserve">source </w:t>
            </w:r>
            <w:r>
              <w:rPr>
                <w:rFonts w:ascii="Times New Roman" w:hAnsi="Times New Roman" w:cs="Times New Roman"/>
                <w:i/>
                <w:sz w:val="15"/>
                <w:szCs w:val="15"/>
              </w:rPr>
              <w:t xml:space="preserve">S</w:t>
            </w:r>
            <w:r>
              <w:rPr>
                <w:rFonts w:ascii="Times New Roman" w:hAnsi="Times New Roman" w:cs="Times New Roman"/>
                <w:sz w:val="15"/>
                <w:szCs w:val="15"/>
              </w:rPr>
              <w:t xml:space="preserve">; categories </w:t>
            </w:r>
            <w:r>
              <w:rPr>
                <w:rFonts w:ascii="Times New Roman" w:hAnsi="Times New Roman" w:cs="Times New Roman"/>
                <w:i/>
                <w:sz w:val="15"/>
                <w:szCs w:val="15"/>
              </w:rPr>
              <w:t xml:space="preserve">C</w:t>
            </w:r>
            <w:r>
              <w:rPr>
                <w:rFonts w:ascii="Times New Roman" w:hAnsi="Times New Roman" w:cs="Times New Roman"/>
                <w:sz w:val="15"/>
                <w:szCs w:val="15"/>
              </w:rPr>
              <w:t xml:space="preserve"> with anchors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gated set </w:t>
            </w:r>
            <w:r>
              <w:rPr>
                <w:rFonts w:ascii="Times New Roman" w:hAnsi="Times New Roman" w:cs="Times New Roman"/>
                <w:i/>
                <w:sz w:val="15"/>
                <w:szCs w:val="15"/>
              </w:rPr>
              <w:t xml:space="preserve">V</w:t>
            </w:r>
            <w:r>
              <w:rPr>
                <w:rFonts w:ascii="Times New Roman" w:hAnsi="Times New Roman" w:cs="Times New Roman"/>
                <w:sz w:val="15"/>
                <w:szCs w:val="15"/>
              </w:rPr>
              <w:t xml:space="preserve">; cap </w:t>
            </w:r>
            <w:r>
              <w:rPr>
                <w:rFonts w:ascii="Times New Roman" w:hAnsi="Times New Roman" w:cs="Times New Roman"/>
                <w:i/>
                <w:sz w:val="15"/>
                <w:szCs w:val="15"/>
              </w:rPr>
              <w:t xml:space="preserve">κ</w:t>
            </w:r>
            <w:r>
              <w:rPr>
                <w:rFonts w:ascii="Times New Roman" w:hAnsi="Times New Roman" w:cs="Times New Roman"/>
                <w:sz w:val="15"/>
                <w:szCs w:val="15"/>
              </w:rPr>
              <w:t xml:space="preserve">; padding </w:t>
            </w:r>
            <w:r>
              <w:rPr>
                <w:rFonts w:ascii="Times New Roman" w:hAnsi="Times New Roman" w:cs="Times New Roman"/>
                <w:i/>
                <w:sz w:val="15"/>
                <w:szCs w:val="15"/>
              </w:rPr>
              <w:t xml:space="preserve">π</w:t>
            </w:r>
          </w:p>
        </w:tc>
      </w:tr>
      <w:tr>
        <w:trPr>
          <w:cantSplit/>
        </w:trPr>
        <w:tc>
          <w:tcPr>
            <w:tcW w:w="4731" w:type="dxa"/>
            <w:gridSpan w:val="2"/>
            <w:vAlign w:val="center"/>
          </w:tcPr>
          <w:p>
            <w:pPr>
              <w:widowControl/>
              <w:spacing w:before="4" w:after="4" w:line="240" w:lineRule="auto"/>
              <w:jc w:val="left"/>
            </w:pPr>
            <w:r>
              <w:rPr>
                <w:rFonts w:ascii="Times New Roman" w:hAnsi="Times New Roman" w:cs="Times New Roman"/>
                <w:b/>
                <w:sz w:val="15"/>
                <w:szCs w:val="15"/>
              </w:rPr>
              <w:t xml:space="preserve">Output: </w:t>
            </w:r>
            <w:r>
              <w:rPr>
                <w:rFonts w:ascii="Times New Roman" w:hAnsi="Times New Roman" w:cs="Times New Roman"/>
                <w:sz w:val="15"/>
                <w:szCs w:val="15"/>
              </w:rPr>
              <w:t xml:space="preserve">annotated slice </w:t>
            </w:r>
            <w:r>
              <w:rPr>
                <w:rFonts w:ascii="Times New Roman" w:hAnsi="Times New Roman" w:cs="Times New Roman"/>
                <w:i/>
                <w:sz w:val="15"/>
                <w:szCs w:val="15"/>
              </w:rPr>
              <w:t xml:space="preserve">Σ</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L</w:t>
            </w:r>
            <w:r>
              <w:rPr>
                <w:rFonts w:ascii="Times New Roman" w:hAnsi="Times New Roman" w:cs="Times New Roman"/>
                <w:sz w:val="15"/>
                <w:szCs w:val="15"/>
              </w:rPr>
              <w:t xml:space="preserve"> ← StripComments(</w:t>
            </w:r>
            <w:r>
              <w:rPr>
                <w:rFonts w:ascii="Times New Roman" w:hAnsi="Times New Roman" w:cs="Times New Roman"/>
                <w:i/>
                <w:sz w:val="15"/>
                <w:szCs w:val="15"/>
              </w:rPr>
              <w:t xml:space="preserve">S</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K</w:t>
            </w:r>
            <w:r>
              <w:rPr>
                <w:rFonts w:ascii="Times New Roman" w:hAnsi="Times New Roman" w:cs="Times New Roman"/>
                <w:sz w:val="15"/>
                <w:szCs w:val="15"/>
              </w:rPr>
              <w:t xml:space="preserve"> ← lines of top-level library units in </w:t>
            </w:r>
            <w:r>
              <w:rPr>
                <w:rFonts w:ascii="Times New Roman" w:hAnsi="Times New Roman" w:cs="Times New Roman"/>
                <w:i/>
                <w:sz w:val="15"/>
                <w:szCs w:val="15"/>
              </w:rPr>
              <w:t xml:space="preserve">L</w:t>
            </w:r>
            <w:r>
              <w:rPr>
                <w:rFonts w:ascii="Times New Roman" w:hAnsi="Times New Roman" w:cs="Times New Roman"/>
                <w:sz w:val="15"/>
                <w:szCs w:val="15"/>
              </w:rPr>
              <w:t xml:space="preserve">   ▷ collapsed</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3:</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4:</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function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in </w:t>
            </w:r>
            <w:r>
              <w:rPr>
                <w:rFonts w:ascii="Times New Roman" w:hAnsi="Times New Roman" w:cs="Times New Roman"/>
                <w:i/>
                <w:sz w:val="15"/>
                <w:szCs w:val="15"/>
              </w:rPr>
              <w:t xml:space="preserve">L</w:t>
            </w:r>
            <w:r>
              <w:rPr>
                <w:rFonts w:ascii="Times New Roman" w:hAnsi="Times New Roman" w:cs="Times New Roman"/>
                <w:sz w:val="15"/>
                <w:szCs w:val="15"/>
              </w:rPr>
              <w:t xml:space="preserve"> with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5:</w:t>
            </w:r>
          </w:p>
        </w:tc>
        <w:tc>
          <w:tcPr>
            <w:tcW w:w="4431" w:type="dxa"/>
            <w:vAlign w:val="center"/>
          </w:tcPr>
          <w:p>
            <w:pPr>
              <w:widowControl/>
              <w:spacing w:before="0" w:after="0" w:line="240" w:lineRule="auto"/>
              <w:ind w:left="280" w:firstLine="0"/>
              <w:jc w:val="left"/>
            </w:pP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V</w:t>
            </w:r>
            <w:r>
              <w:rPr>
                <w:rFonts w:ascii="Times New Roman" w:hAnsi="Times New Roman" w:cs="Times New Roman"/>
                <w:sz w:val="15"/>
                <w:szCs w:val="15"/>
              </w:rPr>
              <w:t xml:space="preserve"> </w:t>
            </w: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sig</w:t>
            </w:r>
            <w:r>
              <w:rPr>
                <w:rFonts w:ascii="Times New Roman" w:hAnsi="Times New Roman" w:cs="Times New Roman"/>
                <w:sz w:val="15"/>
                <w:szCs w:val="15"/>
              </w:rPr>
              <w:t xml:space="preserve"> is view or pure </w:t>
            </w:r>
            <w:r>
              <w:rPr>
                <w:rFonts w:ascii="Times New Roman" w:hAnsi="Times New Roman" w:cs="Times New Roman"/>
                <w:b/>
                <w:sz w:val="15"/>
                <w:szCs w:val="15"/>
              </w:rPr>
              <w:t xml:space="preserve">else</w:t>
            </w:r>
            <w:r>
              <w:rPr>
                <w:rFonts w:ascii="Times New Roman" w:hAnsi="Times New Roman" w:cs="Times New Roman"/>
                <w:sz w:val="15"/>
                <w:szCs w:val="15"/>
              </w:rPr>
              <w:t xml:space="preserve"> ∅</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for</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s</w:t>
            </w:r>
            <w:r>
              <w:rPr>
                <w:rFonts w:ascii="Times New Roman" w:hAnsi="Times New Roman" w:cs="Times New Roman"/>
                <w:sz w:val="15"/>
                <w:szCs w:val="15"/>
              </w:rPr>
              <w:t xml:space="preserve"> </w:t>
            </w:r>
            <w:r>
              <w:rPr>
                <w:rFonts w:ascii="Times New Roman" w:hAnsi="Times New Roman" w:cs="Times New Roman"/>
                <w:b/>
                <w:sz w:val="15"/>
                <w:szCs w:val="15"/>
              </w:rPr>
              <w:t xml:space="preserve">to</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vertAlign w:val="subscript"/>
              </w:rPr>
              <w:t xml:space="preserve">e</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T</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G</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matches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8:</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 ≠ ∅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9:</w:t>
            </w:r>
          </w:p>
        </w:tc>
        <w:tc>
          <w:tcPr>
            <w:tcW w:w="4431" w:type="dxa"/>
            <w:vAlign w:val="center"/>
          </w:tcPr>
          <w:p>
            <w:pPr>
              <w:widowControl/>
              <w:spacing w:before="0" w:after="0" w:line="240" w:lineRule="auto"/>
              <w:ind w:left="720" w:firstLine="0"/>
              <w:jc w:val="left"/>
            </w:pPr>
            <w:r>
              <w:rPr>
                <w:rFonts w:ascii="Times New Roman" w:hAnsi="Times New Roman" w:cs="Times New Roman"/>
                <w:sz w:val="15"/>
                <w:szCs w:val="15"/>
              </w:rPr>
              <w:t xml:space="preserve">(</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 InnermostBlock(</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f</w:t>
            </w:r>
            <w:r>
              <w:rPr>
                <w:rFonts w:ascii="Times New Roman" w:hAnsi="Times New Roman" w:cs="Times New Roman"/>
                <w:sz w:val="15"/>
                <w:szCs w:val="15"/>
              </w:rPr>
              <w:t xml:space="preserve">, </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i/>
                <w:sz w:val="15"/>
                <w:szCs w:val="15"/>
              </w:rPr>
              <w:t xml:space="preserve">κ</w:t>
            </w:r>
            <w:r>
              <w:rPr>
                <w:rFonts w:ascii="Times New Roman" w:hAnsi="Times New Roman" w:cs="Times New Roman"/>
                <w:sz w:val="15"/>
                <w:szCs w:val="15"/>
              </w:rPr>
              <w:t xml:space="preserve">, </w:t>
            </w:r>
            <w:r>
              <w:rPr>
                <w:rFonts w:ascii="Times New Roman" w:hAnsi="Times New Roman" w:cs="Times New Roman"/>
                <w:i/>
                <w:sz w:val="15"/>
                <w:szCs w:val="15"/>
              </w:rPr>
              <w:t xml:space="preserve">π</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10:</w:t>
            </w:r>
          </w:p>
        </w:tc>
        <w:tc>
          <w:tcPr>
            <w:tcW w:w="4431" w:type="dxa"/>
            <w:vAlign w:val="center"/>
          </w:tcPr>
          <w:p>
            <w:pPr>
              <w:widowControl/>
              <w:spacing w:before="0" w:after="0" w:line="240" w:lineRule="auto"/>
              <w:ind w:left="720" w:firstLine="0"/>
              <w:jc w:val="left"/>
            </w:pP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W</w:t>
            </w:r>
            <w:r>
              <w:rPr>
                <w:rFonts w:ascii="Times New Roman" w:hAnsi="Times New Roman" w:cs="Times New Roman"/>
                <w:sz w:val="15"/>
                <w:szCs w:val="15"/>
              </w:rPr>
              <w:t xml:space="preserve"> ∪ {(</w:t>
            </w:r>
            <w:r>
              <w:rPr>
                <w:rFonts w:ascii="Times New Roman" w:hAnsi="Times New Roman" w:cs="Times New Roman"/>
                <w:i/>
                <w:sz w:val="15"/>
                <w:szCs w:val="15"/>
              </w:rPr>
              <w:t xml:space="preserve">a</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i/>
                <w:sz w:val="15"/>
                <w:szCs w:val="15"/>
              </w:rPr>
              <w:t xml:space="preserve">T</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11:</w:t>
            </w:r>
          </w:p>
        </w:tc>
        <w:tc>
          <w:tcPr>
            <w:tcW w:w="4431" w:type="dxa"/>
            <w:vAlign w:val="center"/>
          </w:tcPr>
          <w:p>
            <w:pPr>
              <w:widowControl/>
              <w:spacing w:before="0" w:after="0" w:line="240" w:lineRule="auto"/>
              <w:ind w:left="50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12:</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13:</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14:</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MergeAdjacent(</w:t>
            </w:r>
            <w:r>
              <w:rPr>
                <w:rFonts w:ascii="Times New Roman" w:hAnsi="Times New Roman" w:cs="Times New Roman"/>
                <w:i/>
                <w:sz w:val="15"/>
                <w:szCs w:val="15"/>
              </w:rPr>
              <w:t xml:space="preserve">W</w:t>
            </w:r>
            <w:r>
              <w:rPr>
                <w:rFonts w:ascii="Times New Roman" w:hAnsi="Times New Roman" w:cs="Times New Roman"/>
                <w:sz w:val="15"/>
                <w:szCs w:val="15"/>
              </w:rPr>
              <w:t xml:space="preserve">)   ▷ union of tags</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15:</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for each</w:t>
            </w:r>
            <w:r>
              <w:rPr>
                <w:rFonts w:ascii="Times New Roman" w:hAnsi="Times New Roman" w:cs="Times New Roman"/>
                <w:sz w:val="15"/>
                <w:szCs w:val="15"/>
              </w:rPr>
              <w:t xml:space="preserve"> </w:t>
            </w:r>
            <w:r>
              <w:rPr>
                <w:rFonts w:ascii="Times New Roman" w:hAnsi="Times New Roman" w:cs="Times New Roman"/>
                <w:i/>
                <w:sz w:val="15"/>
                <w:szCs w:val="15"/>
              </w:rPr>
              <w:t xml:space="preserve">c</w:t>
            </w:r>
            <w:r>
              <w:rPr>
                <w:rFonts w:ascii="Times New Roman" w:hAnsi="Times New Roman" w:cs="Times New Roman"/>
                <w:sz w:val="15"/>
                <w:szCs w:val="15"/>
              </w:rPr>
              <w:t xml:space="preserve"> ∈ </w:t>
            </w:r>
            <w:r>
              <w:rPr>
                <w:rFonts w:ascii="Times New Roman" w:hAnsi="Times New Roman" w:cs="Times New Roman"/>
                <w:i/>
                <w:sz w:val="15"/>
                <w:szCs w:val="15"/>
              </w:rPr>
              <w:t xml:space="preserve">C</w:t>
            </w:r>
            <w:r>
              <w:rPr>
                <w:rFonts w:ascii="Times New Roman" w:hAnsi="Times New Roman" w:cs="Times New Roman"/>
                <w:sz w:val="15"/>
                <w:szCs w:val="15"/>
              </w:rPr>
              <w:t xml:space="preserve"> tagged in no block of </w:t>
            </w:r>
            <w:r>
              <w:rPr>
                <w:rFonts w:ascii="Times New Roman" w:hAnsi="Times New Roman" w:cs="Times New Roman"/>
                <w:i/>
                <w:sz w:val="15"/>
                <w:szCs w:val="15"/>
              </w:rPr>
              <w:t xml:space="preserve">B</w:t>
            </w:r>
            <w:r>
              <w:rPr>
                <w:rFonts w:ascii="Times New Roman" w:hAnsi="Times New Roman" w:cs="Times New Roman"/>
                <w:sz w:val="15"/>
                <w:szCs w:val="15"/>
              </w:rPr>
              <w:t xml:space="preserve"> </w:t>
            </w:r>
            <w:r>
              <w:rPr>
                <w:rFonts w:ascii="Times New Roman" w:hAnsi="Times New Roman" w:cs="Times New Roman"/>
                <w:b/>
                <w:sz w:val="15"/>
                <w:szCs w:val="15"/>
              </w:rPr>
              <w:t xml:space="preserve">do</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16:</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some </w:t>
            </w:r>
            <w:r>
              <w:rPr>
                <w:rFonts w:ascii="Times New Roman" w:hAnsi="Times New Roman" w:cs="Times New Roman"/>
                <w:i/>
                <w:sz w:val="15"/>
                <w:szCs w:val="15"/>
              </w:rPr>
              <w:t xml:space="preserve">k</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 has </w:t>
            </w:r>
            <w:r>
              <w:rPr>
                <w:rFonts w:ascii="Times New Roman" w:hAnsi="Times New Roman" w:cs="Times New Roman"/>
                <w:i/>
                <w:sz w:val="15"/>
                <w:szCs w:val="15"/>
              </w:rPr>
              <w:t xml:space="preserve">A</w:t>
            </w:r>
            <w:r>
              <w:rPr>
                <w:rFonts w:ascii="Times New Roman" w:hAnsi="Times New Roman" w:cs="Times New Roman"/>
                <w:sz w:val="15"/>
                <w:szCs w:val="15"/>
                <w:vertAlign w:val="subscript"/>
              </w:rPr>
              <w:t xml:space="preserve">c</w:t>
            </w:r>
            <w:r>
              <w:rPr>
                <w:rFonts w:ascii="Times New Roman" w:hAnsi="Times New Roman" w:cs="Times New Roman"/>
                <w:sz w:val="15"/>
                <w:szCs w:val="15"/>
              </w:rPr>
              <w:t xml:space="preserve"> matching </w:t>
            </w:r>
            <w:r>
              <w:rPr>
                <w:rFonts w:ascii="Times New Roman" w:hAnsi="Times New Roman" w:cs="Times New Roman"/>
                <w:i/>
                <w:sz w:val="15"/>
                <w:szCs w:val="15"/>
              </w:rPr>
              <w:t xml:space="preserve">L</w:t>
            </w:r>
            <w:r>
              <w:rPr>
                <w:rFonts w:ascii="Times New Roman" w:hAnsi="Times New Roman" w:cs="Times New Roman"/>
                <w:sz w:val="15"/>
                <w:szCs w:val="15"/>
              </w:rPr>
              <w:t xml:space="preserve">[</w:t>
            </w:r>
            <w:r>
              <w:rPr>
                <w:rFonts w:ascii="Times New Roman" w:hAnsi="Times New Roman" w:cs="Times New Roman"/>
                <w:i/>
                <w:sz w:val="15"/>
                <w:szCs w:val="15"/>
              </w:rPr>
              <w:t xml:space="preserve">k</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17:</w:t>
            </w:r>
          </w:p>
        </w:tc>
        <w:tc>
          <w:tcPr>
            <w:tcW w:w="4431" w:type="dxa"/>
            <w:vAlign w:val="center"/>
          </w:tcPr>
          <w:p>
            <w:pPr>
              <w:widowControl/>
              <w:spacing w:before="0" w:after="0" w:line="240" w:lineRule="auto"/>
              <w:ind w:left="500" w:firstLine="0"/>
              <w:jc w:val="left"/>
            </w:pP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B</w:t>
            </w:r>
            <w:r>
              <w:rPr>
                <w:rFonts w:ascii="Times New Roman" w:hAnsi="Times New Roman" w:cs="Times New Roman"/>
                <w:sz w:val="15"/>
                <w:szCs w:val="15"/>
              </w:rPr>
              <w:t xml:space="preserve"> ∪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k</w:t>
            </w:r>
            <w:r>
              <w:rPr>
                <w:rFonts w:ascii="Times New Roman" w:hAnsi="Times New Roman" w:cs="Times New Roman"/>
                <w:sz w:val="15"/>
                <w:szCs w:val="15"/>
              </w:rPr>
              <w:t xml:space="preserve">+1, {</w:t>
            </w:r>
            <w:r>
              <w:rPr>
                <w:rFonts w:ascii="Times New Roman" w:hAnsi="Times New Roman" w:cs="Times New Roman"/>
                <w:i/>
                <w:sz w:val="15"/>
                <w:szCs w:val="15"/>
              </w:rPr>
              <w:t xml:space="preserve">c</w:t>
            </w:r>
            <w:r>
              <w:rPr>
                <w:rFonts w:ascii="Times New Roman" w:hAnsi="Times New Roman" w:cs="Times New Roman"/>
                <w:sz w:val="15"/>
                <w:szCs w:val="15"/>
              </w:rPr>
              <w:t xml:space="preserve">})}   ▷ rescue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18:</w:t>
            </w:r>
          </w:p>
        </w:tc>
        <w:tc>
          <w:tcPr>
            <w:tcW w:w="4431" w:type="dxa"/>
            <w:vAlign w:val="center"/>
          </w:tcPr>
          <w:p>
            <w:pPr>
              <w:widowControl/>
              <w:spacing w:before="0" w:after="0" w:line="240" w:lineRule="auto"/>
              <w:ind w:left="280" w:firstLine="0"/>
              <w:jc w:val="left"/>
            </w:pPr>
            <w:r>
              <w:rPr>
                <w:rFonts w:ascii="Times New Roman" w:hAnsi="Times New Roman" w:cs="Times New Roman"/>
                <w:b/>
                <w:sz w:val="15"/>
                <w:szCs w:val="15"/>
              </w:rPr>
              <w:t xml:space="preserve">end if</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19:</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end for</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20:</w:t>
            </w:r>
          </w:p>
        </w:tc>
        <w:tc>
          <w:tcPr>
            <w:tcW w:w="4431" w:type="dxa"/>
            <w:vAlign w:val="center"/>
          </w:tcPr>
          <w:p>
            <w:pPr>
              <w:widowControl/>
              <w:spacing w:before="0" w:after="0" w:line="240" w:lineRule="auto"/>
              <w:ind w:left="60" w:firstLine="0"/>
              <w:jc w:val="left"/>
            </w:pPr>
            <w:r>
              <w:rPr>
                <w:rFonts w:ascii="Times New Roman" w:hAnsi="Times New Roman" w:cs="Times New Roman"/>
                <w:i/>
                <w:sz w:val="15"/>
                <w:szCs w:val="15"/>
              </w:rPr>
              <w:t xml:space="preserve">Σ</w:t>
            </w:r>
            <w:r>
              <w:rPr>
                <w:rFonts w:ascii="Times New Roman" w:hAnsi="Times New Roman" w:cs="Times New Roman"/>
                <w:sz w:val="15"/>
                <w:szCs w:val="15"/>
              </w:rPr>
              <w:t xml:space="preserve"> ← Render(stubs(</w:t>
            </w:r>
            <w:r>
              <w:rPr>
                <w:rFonts w:ascii="Times New Roman" w:hAnsi="Times New Roman" w:cs="Times New Roman"/>
                <w:i/>
                <w:sz w:val="15"/>
                <w:szCs w:val="15"/>
              </w:rPr>
              <w:t xml:space="preserve">K</w:t>
            </w:r>
            <w:r>
              <w:rPr>
                <w:rFonts w:ascii="Times New Roman" w:hAnsi="Times New Roman" w:cs="Times New Roman"/>
                <w:sz w:val="15"/>
                <w:szCs w:val="15"/>
              </w:rPr>
              <w:t xml:space="preserve">), declarations(</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i/>
                <w:sz w:val="15"/>
                <w:szCs w:val="15"/>
              </w:rPr>
              <w:t xml:space="preserve">B</w:t>
            </w:r>
            <w:r>
              <w:rPr>
                <w:rFonts w:ascii="Times New Roman" w:hAnsi="Times New Roman" w:cs="Times New Roman"/>
                <w:sz w:val="15"/>
                <w:szCs w:val="15"/>
              </w:rPr>
              <w:t xml:space="preserv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21:</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if</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w:t>
            </w:r>
            <w:r>
              <w:rPr>
                <w:rFonts w:ascii="Times New Roman" w:hAnsi="Times New Roman" w:cs="Times New Roman"/>
                <w:b/>
                <w:sz w:val="15"/>
                <w:szCs w:val="15"/>
              </w:rPr>
              <w:t xml:space="preserve">then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r>
              <w:rPr>
                <w:rFonts w:ascii="Times New Roman" w:hAnsi="Times New Roman" w:cs="Times New Roman"/>
                <w:sz w:val="15"/>
                <w:szCs w:val="15"/>
              </w:rPr>
              <w:t xml:space="preserve"> ← </w:t>
            </w:r>
            <w:r>
              <w:rPr>
                <w:rFonts w:ascii="Times New Roman" w:hAnsi="Times New Roman" w:cs="Times New Roman"/>
                <w:i/>
                <w:sz w:val="15"/>
                <w:szCs w:val="15"/>
              </w:rPr>
              <w:t xml:space="preserve">L</w:t>
            </w:r>
            <w:r>
              <w:rPr>
                <w:rFonts w:ascii="Times New Roman" w:hAnsi="Times New Roman" w:cs="Times New Roman"/>
                <w:sz w:val="15"/>
                <w:szCs w:val="15"/>
              </w:rPr>
              <w:t xml:space="preserve">   ▷ small contract: send whole</w:t>
            </w:r>
          </w:p>
        </w:tc>
      </w:tr>
      <w:tr>
        <w:trPr>
          <w:cantSplit/>
        </w:trPr>
        <w:tc>
          <w:tcPr>
            <w:tcW w:w="300" w:type="dxa"/>
            <w:vAlign w:val="center"/>
          </w:tcPr>
          <w:p>
            <w:pPr>
              <w:widowControl/>
              <w:spacing w:before="0" w:after="0" w:line="240" w:lineRule="auto"/>
              <w:jc w:val="right"/>
            </w:pPr>
            <w:r>
              <w:rPr>
                <w:rFonts w:ascii="Times New Roman" w:hAnsi="Times New Roman" w:cs="Times New Roman"/>
                <w:sz w:val="14"/>
                <w:szCs w:val="14"/>
              </w:rPr>
              <w:t xml:space="preserve">22:</w:t>
            </w:r>
          </w:p>
        </w:tc>
        <w:tc>
          <w:tcPr>
            <w:tcW w:w="4431" w:type="dxa"/>
            <w:vAlign w:val="center"/>
          </w:tcPr>
          <w:p>
            <w:pPr>
              <w:widowControl/>
              <w:spacing w:before="0" w:after="0" w:line="240" w:lineRule="auto"/>
              <w:ind w:left="60" w:firstLine="0"/>
              <w:jc w:val="left"/>
            </w:pPr>
            <w:r>
              <w:rPr>
                <w:rFonts w:ascii="Times New Roman" w:hAnsi="Times New Roman" w:cs="Times New Roman"/>
                <w:b/>
                <w:sz w:val="15"/>
                <w:szCs w:val="15"/>
              </w:rPr>
              <w:t xml:space="preserve">return</w:t>
            </w:r>
            <w:r>
              <w:rPr>
                <w:rFonts w:ascii="Times New Roman" w:hAnsi="Times New Roman" w:cs="Times New Roman"/>
                <w:sz w:val="15"/>
                <w:szCs w:val="15"/>
              </w:rPr>
              <w:t xml:space="preserve"> </w:t>
            </w:r>
            <w:r>
              <w:rPr>
                <w:rFonts w:ascii="Times New Roman" w:hAnsi="Times New Roman" w:cs="Times New Roman"/>
                <w:i/>
                <w:sz w:val="15"/>
                <w:szCs w:val="15"/>
              </w:rPr>
              <w:t xml:space="preserve">Σ</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C. Window Extraction, Merging and Library Collapse</w:t>
      </w:r>
    </w:p>
    <w:p>
      <w:pPr>
        <w:widowControl/>
        <w:spacing w:before="0" w:after="0" w:line="240" w:lineRule="auto"/>
        <w:jc w:val="both"/>
      </w:pPr>
      <w:r>
        <w:rPr>
          <w:rFonts w:ascii="Times New Roman" w:hAnsi="Times New Roman" w:cs="Times New Roman"/>
          <w:sz w:val="20"/>
          <w:szCs w:val="20"/>
        </w:rPr>
        <w:t xml:space="preserve">An anchored line expands to its innermost enclosing brace block, capped at 10 lines, beyond which the window falls back to the anchor with two lines of context on each side (line 9); the enclosing signature is kept so that visibility and modifiers stay visible. Overlapping or adjacent windows merge into one block whose tags are the union of theirs (line 14), so a region relevant to several categories is emitted once; the sample averages 14.9 blocks per contract. Standard library constructs such as SafeMath, Address, Context, Ownable, ERC20 and common exchange interfaces are recognised by name and replaced with one-line stubs (line 2). Collapse alone lowered access-control retention to 0.95 and DoS retention to 0.86, because some contracts kept their only anchor inside library code, so a rescue rule emits a three-line window at such an anchor whenever a category would otherwise have no block (lines 15–19), restoring full retention for about two percentage points of size.</w:t>
      </w:r>
    </w:p>
    <w:p>
      <w:pPr>
        <w:keepNext/>
        <w:keepLines/>
        <w:widowControl/>
        <w:spacing w:before="100" w:after="60" w:line="240" w:lineRule="auto"/>
        <w:jc w:val="left"/>
      </w:pPr>
      <w:r>
        <w:rPr>
          <w:rFonts w:ascii="Times New Roman" w:hAnsi="Times New Roman" w:cs="Times New Roman"/>
          <w:i/>
          <w:sz w:val="20"/>
          <w:szCs w:val="20"/>
        </w:rPr>
        <w:t xml:space="preserve">D. Slice Rendering</w:t>
      </w:r>
    </w:p>
    <w:p>
      <w:pPr>
        <w:widowControl/>
        <w:spacing w:before="0" w:after="0" w:line="240" w:lineRule="auto"/>
        <w:jc w:val="both"/>
      </w:pPr>
      <w:r>
        <w:rPr>
          <w:rFonts w:ascii="Times New Roman" w:hAnsi="Times New Roman" w:cs="Times New Roman"/>
          <w:sz w:val="20"/>
          <w:szCs w:val="20"/>
        </w:rPr>
        <w:t xml:space="preserve">The slice lists library stubs and contract-level declarations, then the blocks in source order, each with a header giving its original line range and candidate categories so that a finding can be traced back (line 20). Fig. 2 shows an excerpt for a contract from the sample: </w:t>
      </w:r>
      <w:r>
        <w:rPr>
          <w:rFonts w:ascii="Courier New" w:hAnsi="Courier New" w:cs="Courier New"/>
          <w:sz w:val="18"/>
          <w:szCs w:val="18"/>
        </w:rPr>
        <w:t xml:space="preserve">SafeMath</w:t>
      </w:r>
      <w:r>
        <w:rPr>
          <w:rFonts w:ascii="Times New Roman" w:hAnsi="Times New Roman" w:cs="Times New Roman"/>
          <w:sz w:val="20"/>
          <w:szCs w:val="20"/>
        </w:rPr>
        <w:t xml:space="preserve"> is reduced to a stub, block 2 is a modifier tagged for access control because it constrains </w:t>
      </w:r>
      <w:r>
        <w:rPr>
          <w:rFonts w:ascii="Courier New" w:hAnsi="Courier New" w:cs="Courier New"/>
          <w:sz w:val="18"/>
          <w:szCs w:val="18"/>
        </w:rPr>
        <w:t xml:space="preserve">msg.sender</w:t>
      </w:r>
      <w:r>
        <w:rPr>
          <w:rFonts w:ascii="Times New Roman" w:hAnsi="Times New Roman" w:cs="Times New Roman"/>
          <w:sz w:val="20"/>
          <w:szCs w:val="20"/>
        </w:rPr>
        <w:t xml:space="preserve"> and for DoS because it contains </w:t>
      </w:r>
      <w:r>
        <w:rPr>
          <w:rFonts w:ascii="Courier New" w:hAnsi="Courier New" w:cs="Courier New"/>
          <w:sz w:val="18"/>
          <w:szCs w:val="18"/>
        </w:rPr>
        <w:t xml:space="preserve">require</w:t>
      </w:r>
      <w:r>
        <w:rPr>
          <w:rFonts w:ascii="Times New Roman" w:hAnsi="Times New Roman" w:cs="Times New Roman"/>
          <w:sz w:val="20"/>
          <w:szCs w:val="20"/>
        </w:rPr>
        <w:t xml:space="preserve">, and block 3 is a public function tagged by </w:t>
      </w:r>
      <w:r>
        <w:rPr>
          <w:rFonts w:ascii="Courier New" w:hAnsi="Courier New" w:cs="Courier New"/>
          <w:sz w:val="18"/>
          <w:szCs w:val="18"/>
        </w:rPr>
        <w:t xml:space="preserve">MUTFN</w:t>
      </w:r>
      <w:r>
        <w:rPr>
          <w:rFonts w:ascii="Times New Roman" w:hAnsi="Times New Roman" w:cs="Times New Roman"/>
          <w:sz w:val="20"/>
          <w:szCs w:val="20"/>
        </w:rPr>
        <w:t xml:space="preserve">. A short preamble tells the detector that tags are lexical hints rather than findings and that most tagged blocks are not vulnerable. When block headers would cost more than the removed lines save, the contract is sent whole with comments stripped (line 21), which happened for 11 of the 50 contracts.</w:t>
      </w:r>
    </w:p>
    <w:p>
      <w:pPr>
        <w:keepNext/>
        <w:keepLines/>
        <w:widowControl/>
        <w:spacing w:before="40" w:after="0" w:line="240" w:lineRule="auto"/>
        <w:jc w:val="both"/>
      </w:pPr>
      <w:r>
        <w:rPr>
          <w:rFonts w:ascii="Times New Roman" w:hAnsi="Times New Roman" w:cs="Times New Roman"/>
          <w:sz w:val="4"/>
          <w:szCs w:val="4"/>
        </w:rPr>
        <w:t xml:space="preserve"/>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4731"/>
      </w:tblGrid>
      <w:tr>
        <w:trPr>
          <w:cantSplit/>
        </w:trPr>
        <w:tc>
          <w:tcPr>
            <w:tcW w:w="4731" w:type="dxa"/>
            <w:tcBorders>
              <w:top w:val="single" w:sz="8" w:space="0" w:color="000000"/>
              <w:left w:val="single" w:sz="8" w:space="0" w:color="000000"/>
              <w:bottom w:val="single" w:sz="8" w:space="0" w:color="000000"/>
              <w:right w:val="single" w:sz="8" w:space="0" w:color="000000"/>
            </w:tcBorders>
          </w:tcPr>
          <w:p>
            <w:pPr>
              <w:widowControl/>
              <w:spacing w:before="0" w:after="0" w:line="240" w:lineRule="auto"/>
              <w:ind w:left="40" w:firstLine="0"/>
              <w:jc w:val="left"/>
            </w:pPr>
            <w:r>
              <w:rPr>
                <w:rFonts w:ascii="Courier New" w:hAnsi="Courier New" w:cs="Courier New"/>
                <w:sz w:val="12"/>
                <w:szCs w:val="12"/>
              </w:rPr>
              <w:t xml:space="preserve">// SLICED CONTRACT 19288: 128 src lines -&gt; 61 kept (48%), 5 candidate blocks.</w:t>
            </w:r>
          </w:p>
          <w:p>
            <w:pPr>
              <w:widowControl/>
              <w:spacing w:before="0" w:after="0" w:line="240" w:lineRule="auto"/>
              <w:ind w:left="40" w:firstLine="0"/>
              <w:jc w:val="left"/>
            </w:pPr>
            <w:r>
              <w:rPr>
                <w:rFonts w:ascii="Courier New" w:hAnsi="Courier New" w:cs="Courier New"/>
                <w:sz w:val="12"/>
                <w:szCs w:val="12"/>
              </w:rPr>
              <w:t xml:space="preserve">// Each block lists the DASP categories whose static anchors fired inside it.</w:t>
            </w:r>
          </w:p>
          <w:p>
            <w:pPr>
              <w:widowControl/>
              <w:spacing w:before="0" w:after="0" w:line="240" w:lineRule="auto"/>
              <w:ind w:left="40" w:firstLine="0"/>
              <w:jc w:val="left"/>
            </w:pPr>
            <w:r>
              <w:rPr>
                <w:rFonts w:ascii="Courier New" w:hAnsi="Courier New" w:cs="Courier New"/>
                <w:sz w:val="12"/>
                <w:szCs w:val="12"/>
              </w:rPr>
              <w:t xml:space="preserve">// Omitted code matched no anchor for any category.</w:t>
            </w:r>
          </w:p>
          <w:p>
            <w:pPr>
              <w:widowControl/>
              <w:spacing w:before="0" w:after="0" w:line="240" w:lineRule="auto"/>
              <w:ind w:left="40" w:firstLine="0"/>
              <w:jc w:val="left"/>
            </w:pPr>
            <w:r>
              <w:rPr>
                <w:rFonts w:ascii="Courier New" w:hAnsi="Courier New" w:cs="Courier New"/>
                <w:sz w:val="12"/>
                <w:szCs w:val="12"/>
              </w:rPr>
              <w:t xml:space="preserve">// [standard SafeMath omitted - unmodified reference implementation]</w:t>
            </w:r>
          </w:p>
          <w:p>
            <w:pPr>
              <w:widowControl/>
              <w:spacing w:before="0" w:after="0" w:line="240" w:lineRule="auto"/>
              <w:ind w:left="40" w:firstLine="0"/>
              <w:jc w:val="left"/>
            </w:pPr>
            <w:r>
              <w:rPr>
                <w:rFonts w:ascii="Courier New" w:hAnsi="Courier New" w:cs="Courier New"/>
                <w:sz w:val="12"/>
                <w:szCs w:val="12"/>
              </w:rPr>
              <w:t xml:space="preserve">// --- DECLARATIONS ---</w:t>
            </w:r>
          </w:p>
          <w:p>
            <w:pPr>
              <w:widowControl/>
              <w:spacing w:before="0" w:after="0" w:line="240" w:lineRule="auto"/>
              <w:ind w:left="40" w:firstLine="0"/>
              <w:jc w:val="left"/>
            </w:pPr>
            <w:r>
              <w:rPr>
                <w:rFonts w:ascii="Courier New" w:hAnsi="Courier New" w:cs="Courier New"/>
                <w:sz w:val="12"/>
                <w:szCs w:val="12"/>
              </w:rPr>
              <w:t xml:space="preserve">pragma solidity ^0.4.18;</w:t>
            </w:r>
          </w:p>
          <w:p>
            <w:pPr>
              <w:widowControl/>
              <w:spacing w:before="0" w:after="0" w:line="240" w:lineRule="auto"/>
              <w:ind w:left="40" w:firstLine="0"/>
              <w:jc w:val="left"/>
            </w:pPr>
            <w:r>
              <w:rPr>
                <w:rFonts w:ascii="Courier New" w:hAnsi="Courier New" w:cs="Courier New"/>
                <w:sz w:val="12"/>
                <w:szCs w:val="12"/>
              </w:rPr>
              <w:t xml:space="preserve">[...]</w:t>
            </w:r>
          </w:p>
          <w:p>
            <w:pPr>
              <w:widowControl/>
              <w:spacing w:before="0" w:after="0" w:line="240" w:lineRule="auto"/>
              <w:ind w:left="40" w:firstLine="0"/>
              <w:jc w:val="left"/>
            </w:pPr>
            <w:r>
              <w:rPr>
                <w:rFonts w:ascii="Courier New" w:hAnsi="Courier New" w:cs="Courier New"/>
                <w:sz w:val="12"/>
                <w:szCs w:val="12"/>
              </w:rPr>
              <w:t xml:space="preserve">// --- BLOCK 2 | src L16-21 | candidates: Access Control, DoS</w:t>
            </w:r>
          </w:p>
          <w:p>
            <w:pPr>
              <w:widowControl/>
              <w:spacing w:before="0" w:after="0" w:line="240" w:lineRule="auto"/>
              <w:ind w:left="40" w:firstLine="0"/>
              <w:jc w:val="left"/>
            </w:pPr>
            <w:r>
              <w:rPr>
                <w:rFonts w:ascii="Courier New" w:hAnsi="Courier New" w:cs="Courier New"/>
                <w:sz w:val="12"/>
                <w:szCs w:val="12"/>
              </w:rPr>
              <w:t xml:space="preserve">    modifier onlyCLevel() {</w:t>
            </w:r>
          </w:p>
          <w:p>
            <w:pPr>
              <w:widowControl/>
              <w:spacing w:before="0" w:after="0" w:line="240" w:lineRule="auto"/>
              <w:ind w:left="40" w:firstLine="0"/>
              <w:jc w:val="left"/>
            </w:pPr>
            <w:r>
              <w:rPr>
                <w:rFonts w:ascii="Courier New" w:hAnsi="Courier New" w:cs="Courier New"/>
                <w:sz w:val="12"/>
                <w:szCs w:val="12"/>
              </w:rPr>
              <w:t xml:space="preserve">    require(</w:t>
            </w:r>
          </w:p>
          <w:p>
            <w:pPr>
              <w:widowControl/>
              <w:spacing w:before="0" w:after="0" w:line="240" w:lineRule="auto"/>
              <w:ind w:left="40" w:firstLine="0"/>
              <w:jc w:val="left"/>
            </w:pPr>
            <w:r>
              <w:rPr>
                <w:rFonts w:ascii="Courier New" w:hAnsi="Courier New" w:cs="Courier New"/>
                <w:sz w:val="12"/>
                <w:szCs w:val="12"/>
              </w:rPr>
              <w:t xml:space="preserve">      msg.sender == ceoAddress</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_;</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 --- BLOCK 3 | src L23-26 | candidates: Access Control, Front Running</w:t>
            </w:r>
          </w:p>
          <w:p>
            <w:pPr>
              <w:widowControl/>
              <w:spacing w:before="0" w:after="0" w:line="240" w:lineRule="auto"/>
              <w:ind w:left="40" w:firstLine="0"/>
              <w:jc w:val="left"/>
            </w:pPr>
            <w:r>
              <w:rPr>
                <w:rFonts w:ascii="Courier New" w:hAnsi="Courier New" w:cs="Courier New"/>
                <w:sz w:val="12"/>
                <w:szCs w:val="12"/>
              </w:rPr>
              <w:t xml:space="preserve">    function AdPotato() public{</w:t>
            </w:r>
          </w:p>
          <w:p>
            <w:pPr>
              <w:widowControl/>
              <w:spacing w:before="0" w:after="0" w:line="240" w:lineRule="auto"/>
              <w:ind w:left="40" w:firstLine="0"/>
              <w:jc w:val="left"/>
            </w:pPr>
            <w:r>
              <w:rPr>
                <w:rFonts w:ascii="Courier New" w:hAnsi="Courier New" w:cs="Courier New"/>
                <w:sz w:val="12"/>
                <w:szCs w:val="12"/>
              </w:rPr>
              <w:t xml:space="preserve">        ceoAddress=msg.sender;</w:t>
            </w:r>
          </w:p>
          <w:p>
            <w:pPr>
              <w:widowControl/>
              <w:spacing w:before="0" w:after="0" w:line="240" w:lineRule="auto"/>
              <w:ind w:left="40" w:firstLine="0"/>
              <w:jc w:val="left"/>
            </w:pPr>
            <w:r>
              <w:rPr>
                <w:rFonts w:ascii="Courier New" w:hAnsi="Courier New" w:cs="Courier New"/>
                <w:sz w:val="12"/>
                <w:szCs w:val="12"/>
              </w:rPr>
              <w:t xml:space="preserve">        initialize(0x58AFF91f5b48245Bd83deeB2C7d31875f68b3f0D);</w:t>
            </w:r>
          </w:p>
          <w:p>
            <w:pPr>
              <w:widowControl/>
              <w:spacing w:before="0" w:after="0" w:line="240" w:lineRule="auto"/>
              <w:ind w:left="40" w:firstLine="0"/>
              <w:jc w:val="left"/>
            </w:pPr>
            <w:r>
              <w:rPr>
                <w:rFonts w:ascii="Courier New" w:hAnsi="Courier New" w:cs="Courier New"/>
                <w:sz w:val="12"/>
                <w:szCs w:val="12"/>
              </w:rPr>
              <w:t xml:space="preserve">    }</w:t>
            </w:r>
          </w:p>
          <w:p>
            <w:pPr>
              <w:widowControl/>
              <w:spacing w:before="0" w:after="0" w:line="240" w:lineRule="auto"/>
              <w:ind w:left="40" w:firstLine="0"/>
              <w:jc w:val="left"/>
            </w:pPr>
            <w:r>
              <w:rPr>
                <w:rFonts w:ascii="Courier New" w:hAnsi="Courier New" w:cs="Courier New"/>
                <w:sz w:val="12"/>
                <w:szCs w:val="12"/>
              </w:rPr>
              <w:t xml:space="preserve">[...]</w:t>
            </w:r>
          </w:p>
        </w:tc>
      </w:tr>
    </w:tbl>
    <w:p>
      <w:pPr>
        <w:widowControl/>
        <w:spacing w:before="60" w:after="100" w:line="240" w:lineRule="auto"/>
        <w:jc w:val="both"/>
      </w:pPr>
      <w:r>
        <w:rPr>
          <w:rFonts w:ascii="Times New Roman" w:hAnsi="Times New Roman" w:cs="Times New Roman"/>
          <w:b/>
          <w:sz w:val="16"/>
          <w:szCs w:val="16"/>
        </w:rPr>
        <w:t xml:space="preserve">Fig. 2.</w:t>
      </w:r>
      <w:r>
        <w:rPr>
          <w:rFonts w:ascii="Times New Roman" w:hAnsi="Times New Roman" w:cs="Times New Roman"/>
          <w:sz w:val="16"/>
          <w:szCs w:val="16"/>
        </w:rPr>
        <w:t xml:space="preserve">  Excerpt of the AnchorSlice output for DIVE contract 19288. Lines marked [...] are elided for space; all other lines are reproduced verbatim.</w:t>
      </w:r>
    </w:p>
    <w:p>
      <w:pPr>
        <w:keepNext/>
        <w:keepLines/>
        <w:widowControl/>
        <w:spacing w:before="160" w:after="80" w:line="240" w:lineRule="auto"/>
        <w:jc w:val="center"/>
      </w:pPr>
      <w:r>
        <w:rPr>
          <w:rFonts w:ascii="Times New Roman" w:hAnsi="Times New Roman" w:cs="Times New Roman"/>
          <w:smallCaps/>
          <w:sz w:val="20"/>
          <w:szCs w:val="20"/>
        </w:rPr>
        <w:t xml:space="preserve">IV.  Experimental Evaluation</w:t>
      </w:r>
    </w:p>
    <w:p>
      <w:pPr>
        <w:widowControl/>
        <w:spacing w:before="0" w:after="0" w:line="240" w:lineRule="auto"/>
        <w:jc w:val="both"/>
      </w:pPr>
      <w:r>
        <w:rPr>
          <w:rFonts w:ascii="Times New Roman" w:hAnsi="Times New Roman" w:cs="Times New Roman"/>
          <w:sz w:val="20"/>
          <w:szCs w:val="20"/>
        </w:rPr>
        <w:t xml:space="preserve">This section evaluates whether AnchorSlice makes vulnerability detection more token-efficient without degrading it. The detector is held fixed and only its input changes, comparing complete contracts (Arm A) with AnchorSlice output (Arm B) on the same contracts. It first describes the setup, dataset and protocol, then reports evidence retention, resource consumption, detection effectiveness and per-category behaviour, and finally answers the research questions.</w:t>
      </w:r>
    </w:p>
    <w:p>
      <w:pPr>
        <w:keepNext/>
        <w:keepLines/>
        <w:widowControl/>
        <w:spacing w:before="100" w:after="60" w:line="240" w:lineRule="auto"/>
        <w:jc w:val="left"/>
      </w:pPr>
      <w:r>
        <w:rPr>
          <w:rFonts w:ascii="Times New Roman" w:hAnsi="Times New Roman" w:cs="Times New Roman"/>
          <w:i/>
          <w:sz w:val="20"/>
          <w:szCs w:val="20"/>
        </w:rPr>
        <w:t xml:space="preserve">A. Setup and Dataset</w:t>
      </w:r>
    </w:p>
    <w:p>
      <w:pPr>
        <w:widowControl/>
        <w:spacing w:before="0" w:after="0" w:line="240" w:lineRule="auto"/>
        <w:jc w:val="both"/>
      </w:pPr>
      <w:r>
        <w:rPr>
          <w:rFonts w:ascii="Times New Roman" w:hAnsi="Times New Roman" w:cs="Times New Roman"/>
          <w:sz w:val="20"/>
          <w:szCs w:val="20"/>
        </w:rPr>
        <w:t xml:space="preserve">AnchorSlice and the evaluation harness use only the Python standard library, and the code, samples, raw results and logs are available in the project repository </w:t>
      </w:r>
      <w:r>
        <w:rPr>
          <w:rFonts w:ascii="Times New Roman" w:hAnsi="Times New Roman" w:cs="Times New Roman"/>
          <w:sz w:val="20"/>
          <w:szCs w:val="20"/>
        </w:rPr>
        <w:t xml:space="preserve">[</w:t>
      </w:r>
      <w:hyperlink w:anchor="ref_anchorslice_repo" w:history="1">
        <w:r>
          <w:rPr>
            <w:rFonts w:ascii="Times New Roman" w:hAnsi="Times New Roman" w:cs="Times New Roman"/>
            <w:color w:val="1F4FB5"/>
            <w:sz w:val="20"/>
            <w:szCs w:val="20"/>
          </w:rPr>
          <w:t xml:space="preserve">31</w:t>
        </w:r>
      </w:hyperlink>
      <w:r>
        <w:rPr>
          <w:rFonts w:ascii="Times New Roman" w:hAnsi="Times New Roman" w:cs="Times New Roman"/>
          <w:sz w:val="20"/>
          <w:szCs w:val="20"/>
        </w:rPr>
        <w:t xml:space="preserve">]</w:t>
      </w:r>
      <w:r>
        <w:rPr>
          <w:rFonts w:ascii="Times New Roman" w:hAnsi="Times New Roman" w:cs="Times New Roman"/>
          <w:sz w:val="20"/>
          <w:szCs w:val="20"/>
        </w:rPr>
        <w:t xml:space="preserve">. Slicer runtime was measured on an Intel Core i9-9880H with Python 3.12.3. In both arms the detector is Claude Opus 5 at high reasoning effort, accessed through the Claude Code command-line interface in print mode with all tools disabled and no session persistence, so it sees only the prompt. A JSON schema forces eight binary labels with confidences and short reasons, and the interface exposes no sampling parameters. Table II lists every parameter, all held fixed across both arms.</w:t>
      </w:r>
    </w:p>
    <w:p>
      <w:pPr>
        <w:widowControl/>
        <w:spacing w:before="0" w:after="0" w:line="240" w:lineRule="auto"/>
        <w:ind w:left="0" w:firstLine="200"/>
        <w:jc w:val="both"/>
      </w:pPr>
      <w:r>
        <w:rPr>
          <w:rFonts w:ascii="Times New Roman" w:hAnsi="Times New Roman" w:cs="Times New Roman"/>
          <w:sz w:val="20"/>
          <w:szCs w:val="20"/>
        </w:rPr>
        <w:t xml:space="preserve">Across all 22,330 DIVE contracts, prevalence ranges from 74.9% for access control to 2.7% for front running, so we drew 50 contracts with a seeded random sample repaired so that every category has at least five positive and five negative contracts, excluding files below 1,200 or above 30,000 bytes. The sample holds 552,043 characters (median 11,484, maximum 27,687, none truncated), 27 legacy and 23 Solidity 0.8+ contracts, and 119 positives among 400 label cells (29.8%).</w:t>
      </w:r>
    </w:p>
    <w:p>
      <w:pPr>
        <w:keepNext/>
        <w:keepLines/>
        <w:widowControl/>
        <w:spacing w:before="120" w:after="60" w:line="240" w:lineRule="auto"/>
        <w:jc w:val="center"/>
      </w:pPr>
      <w:r>
        <w:rPr>
          <w:rFonts w:ascii="Times New Roman" w:hAnsi="Times New Roman" w:cs="Times New Roman"/>
          <w:smallCaps/>
          <w:sz w:val="16"/>
          <w:szCs w:val="16"/>
        </w:rPr>
        <w:t xml:space="preserve">Table II.  Experimental Configuration</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250"/>
        <w:gridCol w:w="1450"/>
        <w:gridCol w:w="2031"/>
      </w:tblGrid>
      <w:tr>
        <w:trPr>
          <w:cantSplit/>
          <w:tblHeader/>
        </w:trPr>
        <w:tc>
          <w:tcPr>
            <w:tcW w:w="12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Parameter</w:t>
            </w:r>
          </w:p>
        </w:tc>
        <w:tc>
          <w:tcPr>
            <w:tcW w:w="1450"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Value</w:t>
            </w:r>
          </w:p>
        </w:tc>
        <w:tc>
          <w:tcPr>
            <w:tcW w:w="20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Description</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Slicer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Window cap</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10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Largest block kept whole</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Padding</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±2 lines</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Context beyond the cap</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Gated categories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Off in view/pure bodies</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Sampling</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Sample size</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50</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Stratified, seed 20260827</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Category floor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Min. positives/negatives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Size filter</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1.2–30 kB</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Excludes stubs, bounds cost</w:t>
            </w:r>
          </w:p>
        </w:tc>
      </w:tr>
      <w:tr>
        <w:trPr>
          <w:cantSplit/>
        </w:trPr>
        <w:tc>
          <w:tcPr>
            <w:tcW w:w="4731" w:type="dxa"/>
            <w:gridSpan w:val="3"/>
            <w:vAlign w:val="center"/>
          </w:tcPr>
          <w:p>
            <w:pPr>
              <w:widowControl/>
              <w:spacing w:before="24" w:after="0" w:line="240" w:lineRule="auto"/>
              <w:jc w:val="left"/>
            </w:pPr>
            <w:r>
              <w:rPr>
                <w:rFonts w:ascii="Times New Roman" w:hAnsi="Times New Roman" w:cs="Times New Roman"/>
                <w:i/>
                <w:sz w:val="16"/>
                <w:szCs w:val="16"/>
              </w:rPr>
              <w:t xml:space="preserve">Detector</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Model</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Opus 5</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High reasoning effort</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Access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Claude Code CLI</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Print mode, no tools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Output</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JSON schema</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Labels, confidences, reasons</w:t>
            </w:r>
          </w:p>
        </w:tc>
      </w:tr>
      <w:tr>
        <w:trPr>
          <w:cantSplit/>
        </w:trPr>
        <w:tc>
          <w:tcPr>
            <w:tcW w:w="1250" w:type="dxa"/>
            <w:vAlign w:val="center"/>
          </w:tcPr>
          <w:p>
            <w:pPr>
              <w:widowControl/>
              <w:spacing w:before="6" w:after="6" w:line="240" w:lineRule="auto"/>
              <w:jc w:val="left"/>
            </w:pPr>
            <w:r>
              <w:rPr>
                <w:rFonts w:ascii="Times New Roman" w:hAnsi="Times New Roman" w:cs="Times New Roman"/>
                <w:sz w:val="16"/>
                <w:szCs w:val="16"/>
              </w:rPr>
              <w:t xml:space="preserve">Calls</w:t>
            </w:r>
          </w:p>
        </w:tc>
        <w:tc>
          <w:tcPr>
            <w:tcW w:w="1450" w:type="dxa"/>
            <w:vAlign w:val="center"/>
          </w:tcPr>
          <w:p>
            <w:pPr>
              <w:widowControl/>
              <w:spacing w:before="6" w:after="6" w:line="240" w:lineRule="auto"/>
              <w:jc w:val="left"/>
            </w:pPr>
            <w:r>
              <w:rPr>
                <w:rFonts w:ascii="Times New Roman" w:hAnsi="Times New Roman" w:cs="Times New Roman"/>
                <w:sz w:val="16"/>
                <w:szCs w:val="16"/>
              </w:rPr>
              <w:t xml:space="preserve">1 per contract</w:t>
            </w:r>
          </w:p>
        </w:tc>
        <w:tc>
          <w:tcPr>
            <w:tcW w:w="2031" w:type="dxa"/>
            <w:vAlign w:val="center"/>
          </w:tcPr>
          <w:p>
            <w:pPr>
              <w:widowControl/>
              <w:spacing w:before="6" w:after="6" w:line="240" w:lineRule="auto"/>
              <w:jc w:val="left"/>
            </w:pPr>
            <w:r>
              <w:rPr>
                <w:rFonts w:ascii="Times New Roman" w:hAnsi="Times New Roman" w:cs="Times New Roman"/>
                <w:sz w:val="16"/>
                <w:szCs w:val="16"/>
              </w:rPr>
              <w:t xml:space="preserve">Sequential, 900 s timeout</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B. Evaluation Protocol</w:t>
      </w:r>
    </w:p>
    <w:p>
      <w:pPr>
        <w:widowControl/>
        <w:spacing w:before="0" w:after="0" w:line="240" w:lineRule="auto"/>
        <w:jc w:val="both"/>
      </w:pPr>
      <w:r>
        <w:rPr>
          <w:rFonts w:ascii="Times New Roman" w:hAnsi="Times New Roman" w:cs="Times New Roman"/>
          <w:sz w:val="20"/>
          <w:szCs w:val="20"/>
        </w:rPr>
        <w:t xml:space="preserve">Arm A submits each complete contract and Arm B its slice with the preamble; the detector, reasoning effort, system prompt, schema and contracts are otherwise identical, with one call each. The system prompt defines each DASP category with a minimal code example and calibrates the decision threshold to the benchmark, marking a category when its pattern is present and not demonstrably mitigated. Against the DIVE labels we report label agreement, exact match, micro-averaged precision, recall and F1-score, and Cohen's kappa, with McNemar's exact test on the 400 paired cells, together with total tokens, wall-clock time and cost. Evidence retention, measured without the detector, is the share of label-positive contracts that keep at least one block tagged with the category.</w:t>
      </w:r>
    </w:p>
    <w:p>
      <w:pPr>
        <w:keepNext/>
        <w:keepLines/>
        <w:widowControl/>
        <w:spacing w:before="100" w:after="60" w:line="240" w:lineRule="auto"/>
        <w:jc w:val="left"/>
      </w:pPr>
      <w:r>
        <w:rPr>
          <w:rFonts w:ascii="Times New Roman" w:hAnsi="Times New Roman" w:cs="Times New Roman"/>
          <w:i/>
          <w:sz w:val="20"/>
          <w:szCs w:val="20"/>
        </w:rPr>
        <w:t xml:space="preserve">C. Evidence Retention</w:t>
      </w:r>
    </w:p>
    <w:p>
      <w:pPr>
        <w:widowControl/>
        <w:spacing w:before="0" w:after="0" w:line="240" w:lineRule="auto"/>
        <w:jc w:val="both"/>
      </w:pPr>
      <w:r>
        <w:rPr>
          <w:rFonts w:ascii="Times New Roman" w:hAnsi="Times New Roman" w:cs="Times New Roman"/>
          <w:sz w:val="20"/>
          <w:szCs w:val="20"/>
        </w:rPr>
        <w:t xml:space="preserve">AnchorSlice reduced the sample from 552,043 to 332,134 characters (60.2%), a mean per-contract reduction of 34.0%, and retained evidence for all 119 label-positive category instances (Table I). Comment removal alone brings the corpus to 76.3% and library collapse to 56.0%, with anchoring returning 60.2% once block headers are counted (Fig. 1). Slicing all 50 contracts took 378.5 ms, 7.6 ms per contract on average and 17.5 ms at most, negligible beside a detector call of tens of seconds.</w:t>
      </w:r>
    </w:p>
    <w:p>
      <w:pPr>
        <w:keepNext/>
        <w:keepLines/>
        <w:widowControl/>
        <w:spacing w:before="100" w:after="60" w:line="240" w:lineRule="auto"/>
        <w:jc w:val="left"/>
      </w:pPr>
      <w:r>
        <w:rPr>
          <w:rFonts w:ascii="Times New Roman" w:hAnsi="Times New Roman" w:cs="Times New Roman"/>
          <w:i/>
          <w:sz w:val="20"/>
          <w:szCs w:val="20"/>
        </w:rPr>
        <w:t xml:space="preserve">D. Token Consumption, Runtime and Cost</w:t>
      </w:r>
    </w:p>
    <w:p>
      <w:pPr>
        <w:widowControl/>
        <w:spacing w:before="0" w:after="0" w:line="240" w:lineRule="auto"/>
        <w:jc w:val="both"/>
      </w:pPr>
      <w:r>
        <w:rPr>
          <w:rFonts w:ascii="Times New Roman" w:hAnsi="Times New Roman" w:cs="Times New Roman"/>
          <w:sz w:val="20"/>
          <w:szCs w:val="20"/>
        </w:rPr>
        <w:t xml:space="preserve">As Table III shows, slicing cut total tokens from 913,958 to 396,438 (−56.6%), from 18,279 to 7,928 per contract, and wall-clock time from 1,019.6 to 818.5 s (−19.7%), nearly all of which was inference time. Output tokens fell only 15.6%, because reasoning length is governed by the eight decisions rather than by input size, and cost fell 1.4% because the removed tokens were mostly cached input, the cheapest token class.</w:t>
      </w:r>
    </w:p>
    <w:p>
      <w:pPr>
        <w:keepNext/>
        <w:keepLines/>
        <w:widowControl/>
        <w:spacing w:before="120" w:after="60" w:line="240" w:lineRule="auto"/>
        <w:jc w:val="center"/>
      </w:pPr>
      <w:r>
        <w:rPr>
          <w:rFonts w:ascii="Times New Roman" w:hAnsi="Times New Roman" w:cs="Times New Roman"/>
          <w:smallCaps/>
          <w:sz w:val="16"/>
          <w:szCs w:val="16"/>
        </w:rPr>
        <w:t xml:space="preserve">Table III.  Resource Use and Detection Effectiveness</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831"/>
        <w:gridCol w:w="950"/>
        <w:gridCol w:w="950"/>
        <w:gridCol w:w="1000"/>
      </w:tblGrid>
      <w:tr>
        <w:trPr>
          <w:cantSplit/>
          <w:tblHeader/>
        </w:trPr>
        <w:tc>
          <w:tcPr>
            <w:tcW w:w="183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Measure</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A</w:t>
            </w:r>
          </w:p>
        </w:tc>
        <w:tc>
          <w:tcPr>
            <w:tcW w:w="95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Arm B</w:t>
            </w:r>
          </w:p>
        </w:tc>
        <w:tc>
          <w:tcPr>
            <w:tcW w:w="100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Change</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Resources (50 contracts)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Total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913,958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396,438</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−56.6%</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Tokens per contract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18,279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7,928</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−56.6%</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Output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63,798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53,872</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−15.6%</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Cache-read tokens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724,571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166,026</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−77.1%</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Wall clock (s)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1,019.6</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818.5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−19.7%</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Cost (USD)</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3.41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3.36</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−1.4%</w:t>
            </w:r>
          </w:p>
        </w:tc>
      </w:tr>
      <w:tr>
        <w:trPr>
          <w:cantSplit/>
        </w:trPr>
        <w:tc>
          <w:tcPr>
            <w:tcW w:w="4731" w:type="dxa"/>
            <w:gridSpan w:val="4"/>
            <w:vAlign w:val="center"/>
          </w:tcPr>
          <w:p>
            <w:pPr>
              <w:widowControl/>
              <w:spacing w:before="24" w:after="0" w:line="240" w:lineRule="auto"/>
              <w:jc w:val="left"/>
            </w:pPr>
            <w:r>
              <w:rPr>
                <w:rFonts w:ascii="Times New Roman" w:hAnsi="Times New Roman" w:cs="Times New Roman"/>
                <w:i/>
                <w:sz w:val="16"/>
                <w:szCs w:val="16"/>
              </w:rPr>
              <w:t xml:space="preserve">Detection effectiveness (400 label cells)</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Precision</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38.5%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41.4%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+2.9 pp</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Recall</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47.9%</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63.0%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+15.1 pp</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F1-score</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42.7%</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50.0%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+7.3 pp</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Cohen's kappa</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0.145</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0.220</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+0.075</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Label agreement</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61.8%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62.5%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+0.7 pp</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Exact match (8/8)</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0</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True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57</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75</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+18</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positives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91</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106</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+15</w:t>
            </w:r>
          </w:p>
        </w:tc>
      </w:tr>
      <w:tr>
        <w:trPr>
          <w:cantSplit/>
        </w:trPr>
        <w:tc>
          <w:tcPr>
            <w:tcW w:w="1831" w:type="dxa"/>
            <w:vAlign w:val="center"/>
          </w:tcPr>
          <w:p>
            <w:pPr>
              <w:widowControl/>
              <w:spacing w:before="6" w:after="6" w:line="240" w:lineRule="auto"/>
              <w:jc w:val="left"/>
            </w:pPr>
            <w:r>
              <w:rPr>
                <w:rFonts w:ascii="Times New Roman" w:hAnsi="Times New Roman" w:cs="Times New Roman"/>
                <w:sz w:val="16"/>
                <w:szCs w:val="16"/>
              </w:rPr>
              <w:t xml:space="preserve">False negatives</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62</w:t>
            </w:r>
          </w:p>
        </w:tc>
        <w:tc>
          <w:tcPr>
            <w:tcW w:w="950" w:type="dxa"/>
            <w:vAlign w:val="center"/>
          </w:tcPr>
          <w:p>
            <w:pPr>
              <w:widowControl/>
              <w:spacing w:before="6" w:after="6" w:line="240" w:lineRule="auto"/>
              <w:jc w:val="right"/>
            </w:pPr>
            <w:r>
              <w:rPr>
                <w:rFonts w:ascii="Times New Roman" w:hAnsi="Times New Roman" w:cs="Times New Roman"/>
                <w:sz w:val="16"/>
                <w:szCs w:val="16"/>
              </w:rPr>
              <w:t xml:space="preserve">44</w:t>
            </w:r>
          </w:p>
        </w:tc>
        <w:tc>
          <w:tcPr>
            <w:tcW w:w="1000" w:type="dxa"/>
            <w:vAlign w:val="center"/>
          </w:tcPr>
          <w:p>
            <w:pPr>
              <w:widowControl/>
              <w:spacing w:before="6" w:after="6" w:line="240" w:lineRule="auto"/>
              <w:jc w:val="right"/>
            </w:pPr>
            <w:r>
              <w:rPr>
                <w:rFonts w:ascii="Times New Roman" w:hAnsi="Times New Roman" w:cs="Times New Roman"/>
                <w:sz w:val="16"/>
                <w:szCs w:val="16"/>
              </w:rPr>
              <w:t xml:space="preserve">−18</w:t>
            </w:r>
          </w:p>
        </w:tc>
      </w:tr>
    </w:tbl>
    <w:p>
      <w:pPr>
        <w:widowControl/>
        <w:spacing w:before="0" w:after="60" w:line="240" w:lineRule="auto"/>
        <w:jc w:val="both"/>
      </w:pPr>
      <w:r>
        <w:rPr>
          <w:rFonts w:ascii="Times New Roman" w:hAnsi="Times New Roman" w:cs="Times New Roman"/>
          <w:sz w:val="4"/>
          <w:szCs w:val="4"/>
        </w:rPr>
        <w:t xml:space="preserve"/>
      </w:r>
    </w:p>
    <w:p>
      <w:pPr>
        <w:keepNext/>
        <w:keepLines/>
        <w:widowControl/>
        <w:spacing w:before="100" w:after="60" w:line="240" w:lineRule="auto"/>
        <w:jc w:val="left"/>
      </w:pPr>
      <w:r>
        <w:rPr>
          <w:rFonts w:ascii="Times New Roman" w:hAnsi="Times New Roman" w:cs="Times New Roman"/>
          <w:i/>
          <w:sz w:val="20"/>
          <w:szCs w:val="20"/>
        </w:rPr>
        <w:t xml:space="preserve">E. Detection Effectiveness</w:t>
      </w:r>
    </w:p>
    <w:p>
      <w:pPr>
        <w:widowControl/>
        <w:spacing w:before="0" w:after="0" w:line="240" w:lineRule="auto"/>
        <w:jc w:val="both"/>
      </w:pPr>
      <w:r>
        <w:rPr>
          <w:rFonts w:ascii="Times New Roman" w:hAnsi="Times New Roman" w:cs="Times New Roman"/>
          <w:sz w:val="20"/>
          <w:szCs w:val="20"/>
        </w:rPr>
        <w:t xml:space="preserve">Detection improved on every aggregate measure (Table III). Recall rose from 47.9% to 63.0% and precision from 38.5% to 41.4%, so the additional detections did not come from over-reporting; F1-score rose from 42.7% to 50.0% and Cohen's kappa from 0.145 to 0.220. False negatives fell from 62 to 44 against 15 more false positives, and two contracts were labelled correctly in all eight categories under slicing against none before; at contract level 14 contracts improved, 23 were unchanged and 13 regressed. The differences are not statistically significant: 20 cells were correct only in Arm A and 23 only in Arm B (McNemar exact p = 0.761).</w:t>
      </w:r>
    </w:p>
    <w:p>
      <w:pPr>
        <w:keepNext/>
        <w:keepLines/>
        <w:widowControl/>
        <w:spacing w:before="100" w:after="60" w:line="240" w:lineRule="auto"/>
        <w:jc w:val="left"/>
      </w:pPr>
      <w:r>
        <w:rPr>
          <w:rFonts w:ascii="Times New Roman" w:hAnsi="Times New Roman" w:cs="Times New Roman"/>
          <w:i/>
          <w:sz w:val="20"/>
          <w:szCs w:val="20"/>
        </w:rPr>
        <w:t xml:space="preserve">F. Per-Category Behaviour</w:t>
      </w:r>
    </w:p>
    <w:p>
      <w:pPr>
        <w:widowControl/>
        <w:spacing w:before="0" w:after="0" w:line="240" w:lineRule="auto"/>
        <w:jc w:val="both"/>
      </w:pPr>
      <w:r>
        <w:rPr>
          <w:rFonts w:ascii="Times New Roman" w:hAnsi="Times New Roman" w:cs="Times New Roman"/>
          <w:sz w:val="20"/>
          <w:szCs w:val="20"/>
        </w:rPr>
        <w:t xml:space="preserve">Table IV breaks agreement down by category. Access control gained 14.0 percentage points and cut false negatives from 33 to 24, because the </w:t>
      </w:r>
      <w:r>
        <w:rPr>
          <w:rFonts w:ascii="Courier New" w:hAnsi="Courier New" w:cs="Courier New"/>
          <w:sz w:val="18"/>
          <w:szCs w:val="18"/>
        </w:rPr>
        <w:t xml:space="preserve">MUTFN</w:t>
      </w:r>
      <w:r>
        <w:rPr>
          <w:rFonts w:ascii="Times New Roman" w:hAnsi="Times New Roman" w:cs="Times New Roman"/>
          <w:sz w:val="20"/>
          <w:szCs w:val="20"/>
        </w:rPr>
        <w:t xml:space="preserve"> anchor marks exactly the entry points where a missing modifier would live. Front running gained 6.0 points and reentrancy 4.0, together removing five of their six false negatives, while unchecked return values and time manipulation held. Arithmetic and bad randomness lost 2.0 points, and DoS lost 14.0 because its anchor fires almost everywhere (Section V).</w:t>
      </w:r>
    </w:p>
    <w:p>
      <w:pPr>
        <w:keepNext/>
        <w:keepLines/>
        <w:widowControl/>
        <w:spacing w:before="120" w:after="60" w:line="240" w:lineRule="auto"/>
        <w:jc w:val="center"/>
      </w:pPr>
      <w:r>
        <w:rPr>
          <w:rFonts w:ascii="Times New Roman" w:hAnsi="Times New Roman" w:cs="Times New Roman"/>
          <w:smallCaps/>
          <w:sz w:val="16"/>
          <w:szCs w:val="16"/>
        </w:rPr>
        <w:t xml:space="preserve">Table IV.  Label Agreement per DASP Category</w:t>
      </w:r>
    </w:p>
    <w:tbl>
      <w:tblPr>
        <w:tblW w:w="4731" w:type="dxa"/>
        <w:jc w:val="center"/>
        <w:tblBorders>
          <w:top w:val="single" w:sz="8" w:space="0" w:color="000000"/>
          <w:bottom w:val="single" w:sz="8" w:space="0" w:color="000000"/>
        </w:tblBorders>
        <w:tblLayout w:type="fixed"/>
        <w:tblCellMar>
          <w:top w:w="0" w:type="dxa"/>
          <w:left w:w="45" w:type="dxa"/>
          <w:bottom w:w="0" w:type="dxa"/>
          <w:right w:w="45" w:type="dxa"/>
        </w:tblCellMar>
      </w:tblPr>
      <w:tblGrid>
        <w:gridCol w:w="1391"/>
        <w:gridCol w:w="560"/>
        <w:gridCol w:w="620"/>
        <w:gridCol w:w="620"/>
        <w:gridCol w:w="580"/>
        <w:gridCol w:w="480"/>
        <w:gridCol w:w="480"/>
      </w:tblGrid>
      <w:tr>
        <w:trPr>
          <w:cantSplit/>
          <w:tblHeader/>
        </w:trPr>
        <w:tc>
          <w:tcPr>
            <w:tcW w:w="1391" w:type="dxa"/>
            <w:tcBorders>
              <w:bottom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Category</w:t>
            </w:r>
          </w:p>
        </w:tc>
        <w:tc>
          <w:tcPr>
            <w:tcW w:w="56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DIVE+</w:t>
            </w:r>
          </w:p>
        </w:tc>
        <w:tc>
          <w:tcPr>
            <w:tcW w:w="6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Agr. A</w:t>
            </w:r>
          </w:p>
        </w:tc>
        <w:tc>
          <w:tcPr>
            <w:tcW w:w="62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Agr. B</w:t>
            </w:r>
          </w:p>
        </w:tc>
        <w:tc>
          <w:tcPr>
            <w:tcW w:w="5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Δ (pp)</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A</w:t>
            </w:r>
          </w:p>
        </w:tc>
        <w:tc>
          <w:tcPr>
            <w:tcW w:w="480" w:type="dxa"/>
            <w:tcBorders>
              <w:bottom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FN B</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Reentrancy</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22</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0.820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0.860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+4.0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Access control</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39</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0.340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0.480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+14.0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24</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Arithmetic</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23</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0.560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0.540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−2.0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12</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Unchecked return</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0.700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0.700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0.0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4</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DoS</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7</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0.760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0.620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−14.0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3</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Bad randomness</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0.960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0.940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−2.0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Front running</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5</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0.100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0.160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+6.0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2</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r>
      <w:tr>
        <w:trPr>
          <w:cantSplit/>
        </w:trPr>
        <w:tc>
          <w:tcPr>
            <w:tcW w:w="1391" w:type="dxa"/>
            <w:vAlign w:val="center"/>
          </w:tcPr>
          <w:p>
            <w:pPr>
              <w:widowControl/>
              <w:spacing w:before="6" w:after="6" w:line="240" w:lineRule="auto"/>
              <w:jc w:val="left"/>
            </w:pPr>
            <w:r>
              <w:rPr>
                <w:rFonts w:ascii="Times New Roman" w:hAnsi="Times New Roman" w:cs="Times New Roman"/>
                <w:sz w:val="16"/>
                <w:szCs w:val="16"/>
              </w:rPr>
              <w:t xml:space="preserve">Time manipulation</w:t>
            </w:r>
          </w:p>
        </w:tc>
        <w:tc>
          <w:tcPr>
            <w:tcW w:w="560" w:type="dxa"/>
            <w:vAlign w:val="center"/>
          </w:tcPr>
          <w:p>
            <w:pPr>
              <w:widowControl/>
              <w:spacing w:before="6" w:after="6" w:line="240" w:lineRule="auto"/>
              <w:jc w:val="right"/>
            </w:pPr>
            <w:r>
              <w:rPr>
                <w:rFonts w:ascii="Times New Roman" w:hAnsi="Times New Roman" w:cs="Times New Roman"/>
                <w:sz w:val="16"/>
                <w:szCs w:val="16"/>
              </w:rPr>
              <w:t xml:space="preserve">13</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0.700</w:t>
            </w:r>
          </w:p>
        </w:tc>
        <w:tc>
          <w:tcPr>
            <w:tcW w:w="620" w:type="dxa"/>
            <w:vAlign w:val="center"/>
          </w:tcPr>
          <w:p>
            <w:pPr>
              <w:widowControl/>
              <w:spacing w:before="6" w:after="6" w:line="240" w:lineRule="auto"/>
              <w:jc w:val="right"/>
            </w:pPr>
            <w:r>
              <w:rPr>
                <w:rFonts w:ascii="Times New Roman" w:hAnsi="Times New Roman" w:cs="Times New Roman"/>
                <w:sz w:val="16"/>
                <w:szCs w:val="16"/>
              </w:rPr>
              <w:t xml:space="preserve">0.700</w:t>
            </w:r>
          </w:p>
        </w:tc>
        <w:tc>
          <w:tcPr>
            <w:tcW w:w="580" w:type="dxa"/>
            <w:vAlign w:val="center"/>
          </w:tcPr>
          <w:p>
            <w:pPr>
              <w:widowControl/>
              <w:spacing w:before="6" w:after="6" w:line="240" w:lineRule="auto"/>
              <w:jc w:val="right"/>
            </w:pPr>
            <w:r>
              <w:rPr>
                <w:rFonts w:ascii="Times New Roman" w:hAnsi="Times New Roman" w:cs="Times New Roman"/>
                <w:sz w:val="16"/>
                <w:szCs w:val="16"/>
              </w:rPr>
              <w:t xml:space="preserve">0.0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c>
          <w:tcPr>
            <w:tcW w:w="480" w:type="dxa"/>
            <w:vAlign w:val="center"/>
          </w:tcPr>
          <w:p>
            <w:pPr>
              <w:widowControl/>
              <w:spacing w:before="6" w:after="6" w:line="240" w:lineRule="auto"/>
              <w:jc w:val="right"/>
            </w:pPr>
            <w:r>
              <w:rPr>
                <w:rFonts w:ascii="Times New Roman" w:hAnsi="Times New Roman" w:cs="Times New Roman"/>
                <w:sz w:val="16"/>
                <w:szCs w:val="16"/>
              </w:rPr>
              <w:t xml:space="preserve">0</w:t>
            </w:r>
          </w:p>
        </w:tc>
      </w:tr>
      <w:tr>
        <w:trPr>
          <w:cantSplit/>
        </w:trPr>
        <w:tc>
          <w:tcPr>
            <w:tcW w:w="1391" w:type="dxa"/>
            <w:tcBorders>
              <w:top w:val="single" w:sz="8" w:space="0" w:color="000000"/>
            </w:tcBorders>
            <w:vAlign w:val="center"/>
          </w:tcPr>
          <w:p>
            <w:pPr>
              <w:widowControl/>
              <w:spacing w:before="6" w:after="6" w:line="240" w:lineRule="auto"/>
              <w:jc w:val="left"/>
            </w:pPr>
            <w:r>
              <w:rPr>
                <w:rFonts w:ascii="Times New Roman" w:hAnsi="Times New Roman" w:cs="Times New Roman"/>
                <w:b/>
                <w:sz w:val="16"/>
                <w:szCs w:val="16"/>
              </w:rPr>
              <w:t xml:space="preserve">All</w:t>
            </w:r>
          </w:p>
        </w:tc>
        <w:tc>
          <w:tcPr>
            <w:tcW w:w="56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119</w:t>
            </w:r>
          </w:p>
        </w:tc>
        <w:tc>
          <w:tcPr>
            <w:tcW w:w="6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0.618</w:t>
            </w:r>
          </w:p>
        </w:tc>
        <w:tc>
          <w:tcPr>
            <w:tcW w:w="62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0.625</w:t>
            </w:r>
          </w:p>
        </w:tc>
        <w:tc>
          <w:tcPr>
            <w:tcW w:w="5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+0.7</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62</w:t>
            </w:r>
          </w:p>
        </w:tc>
        <w:tc>
          <w:tcPr>
            <w:tcW w:w="480" w:type="dxa"/>
            <w:tcBorders>
              <w:top w:val="single" w:sz="8" w:space="0" w:color="000000"/>
            </w:tcBorders>
            <w:vAlign w:val="center"/>
          </w:tcPr>
          <w:p>
            <w:pPr>
              <w:widowControl/>
              <w:spacing w:before="6" w:after="6" w:line="240" w:lineRule="auto"/>
              <w:jc w:val="right"/>
            </w:pPr>
            <w:r>
              <w:rPr>
                <w:rFonts w:ascii="Times New Roman" w:hAnsi="Times New Roman" w:cs="Times New Roman"/>
                <w:b/>
                <w:sz w:val="16"/>
                <w:szCs w:val="16"/>
              </w:rPr>
              <w:t xml:space="preserve">44</w:t>
            </w:r>
          </w:p>
        </w:tc>
      </w:tr>
    </w:tbl>
    <w:p>
      <w:pPr>
        <w:widowControl/>
        <w:spacing w:before="30" w:after="100" w:line="240" w:lineRule="auto"/>
        <w:jc w:val="both"/>
      </w:pPr>
      <w:r>
        <w:rPr>
          <w:rFonts w:ascii="Times New Roman" w:hAnsi="Times New Roman" w:cs="Times New Roman"/>
          <w:sz w:val="14"/>
          <w:szCs w:val="14"/>
        </w:rPr>
        <w:t xml:space="preserve">DIVE+: reference positives; Agr.: label agreement; Δ: change in agreement; FN: false negatives.</w:t>
      </w:r>
    </w:p>
    <w:p>
      <w:pPr>
        <w:keepNext/>
        <w:keepLines/>
        <w:widowControl/>
        <w:spacing w:before="100" w:after="60" w:line="240" w:lineRule="auto"/>
        <w:jc w:val="left"/>
      </w:pPr>
      <w:r>
        <w:rPr>
          <w:rFonts w:ascii="Times New Roman" w:hAnsi="Times New Roman" w:cs="Times New Roman"/>
          <w:i/>
          <w:sz w:val="20"/>
          <w:szCs w:val="20"/>
        </w:rPr>
        <w:t xml:space="preserve">G. Discussion</w:t>
      </w:r>
    </w:p>
    <w:p>
      <w:pPr>
        <w:widowControl/>
        <w:spacing w:before="0" w:after="0" w:line="240" w:lineRule="auto"/>
        <w:jc w:val="both"/>
      </w:pPr>
      <w:r>
        <w:rPr>
          <w:rFonts w:ascii="Times New Roman" w:hAnsi="Times New Roman" w:cs="Times New Roman"/>
          <w:sz w:val="20"/>
          <w:szCs w:val="20"/>
        </w:rPr>
        <w:t xml:space="preserve">Removing about 40% of each contract did not degrade detection and improved it on aggregate. Comments, licence headers and unmodified libraries carry no evidence a security judgement needs, and a shorter input raises the density of relevant code, consistent with the finding that evidence buried in long inputs is used less reliably </w:t>
      </w:r>
      <w:r>
        <w:rPr>
          <w:rFonts w:ascii="Times New Roman" w:hAnsi="Times New Roman" w:cs="Times New Roman"/>
          <w:sz w:val="20"/>
          <w:szCs w:val="20"/>
        </w:rPr>
        <w:t xml:space="preserve">[</w:t>
      </w:r>
      <w:hyperlink w:anchor="ref_liu2024lost" w:history="1">
        <w:r>
          <w:rPr>
            <w:rFonts w:ascii="Times New Roman" w:hAnsi="Times New Roman" w:cs="Times New Roman"/>
            <w:color w:val="1F4FB5"/>
            <w:sz w:val="20"/>
            <w:szCs w:val="20"/>
          </w:rPr>
          <w:t xml:space="preserve">12</w:t>
        </w:r>
      </w:hyperlink>
      <w:r>
        <w:rPr>
          <w:rFonts w:ascii="Times New Roman" w:hAnsi="Times New Roman" w:cs="Times New Roman"/>
          <w:sz w:val="20"/>
          <w:szCs w:val="20"/>
        </w:rPr>
        <w:t xml:space="preserve">]</w:t>
      </w:r>
      <w:r>
        <w:rPr>
          <w:rFonts w:ascii="Times New Roman" w:hAnsi="Times New Roman" w:cs="Times New Roman"/>
          <w:sz w:val="20"/>
          <w:szCs w:val="20"/>
        </w:rPr>
        <w:t xml:space="preserve">. Since comment removal and library collapse deliver nearly all of the compression, the main value of anchoring is localisation: the tags show the detector where each category could live, and an anchor helps in proportion to its selectivity. We now revisit the research questions.</w:t>
      </w:r>
    </w:p>
    <w:p>
      <w:pPr>
        <w:widowControl/>
        <w:spacing w:before="0" w:after="0" w:line="240" w:lineRule="auto"/>
        <w:jc w:val="both"/>
      </w:pPr>
      <w:r>
        <w:rPr>
          <w:rFonts w:ascii="Times New Roman" w:hAnsi="Times New Roman" w:cs="Times New Roman"/>
          <w:b/>
          <w:sz w:val="20"/>
          <w:szCs w:val="20"/>
        </w:rPr>
        <w:t xml:space="preserve">RQ1 — Evidence retention.</w:t>
      </w:r>
      <w:r>
        <w:rPr>
          <w:rFonts w:ascii="Times New Roman" w:hAnsi="Times New Roman" w:cs="Times New Roman"/>
          <w:sz w:val="20"/>
          <w:szCs w:val="20"/>
        </w:rPr>
        <w:t xml:space="preserve"> The slicer kept 60.2% of the characters, 14.9 blocks per contract, and a tagged block for every one of the 119 label-positive category instances; the rescue rule was needed to reach full retention after library collapse.</w:t>
      </w:r>
    </w:p>
    <w:p>
      <w:pPr>
        <w:widowControl/>
        <w:spacing w:before="0" w:after="0" w:line="240" w:lineRule="auto"/>
        <w:jc w:val="both"/>
      </w:pPr>
      <w:r>
        <w:rPr>
          <w:rFonts w:ascii="Times New Roman" w:hAnsi="Times New Roman" w:cs="Times New Roman"/>
          <w:b/>
          <w:sz w:val="20"/>
          <w:szCs w:val="20"/>
        </w:rPr>
        <w:t xml:space="preserve">To best answer RQ1:</w:t>
      </w:r>
      <w:r>
        <w:rPr>
          <w:rFonts w:ascii="Times New Roman" w:hAnsi="Times New Roman" w:cs="Times New Roman"/>
          <w:sz w:val="20"/>
          <w:szCs w:val="20"/>
        </w:rPr>
        <w:t xml:space="preserve"> a purely lexical, taxonomy-anchored slice removed about two fifths of the source while retaining evidence for all labelled category instances at 7.6 ms per contract. Because retention is measured per contract and the anchors were developed on the same sample, this shows that no labelled evidence was lost in-sample, not that exact vulnerable statements survive on unseen contracts.</w:t>
      </w:r>
    </w:p>
    <w:p>
      <w:pPr>
        <w:widowControl/>
        <w:spacing w:before="0" w:after="0" w:line="240" w:lineRule="auto"/>
        <w:jc w:val="both"/>
      </w:pPr>
      <w:r>
        <w:rPr>
          <w:rFonts w:ascii="Times New Roman" w:hAnsi="Times New Roman" w:cs="Times New Roman"/>
          <w:b/>
          <w:sz w:val="20"/>
          <w:szCs w:val="20"/>
        </w:rPr>
        <w:t xml:space="preserve">RQ2 — Token efficiency.</w:t>
      </w:r>
      <w:r>
        <w:rPr>
          <w:rFonts w:ascii="Times New Roman" w:hAnsi="Times New Roman" w:cs="Times New Roman"/>
          <w:sz w:val="20"/>
          <w:szCs w:val="20"/>
        </w:rPr>
        <w:t xml:space="preserve"> Total tokens fell by 56.6%, cache-read input by 77.1% and output by 15.6%, while runtime fell by 19.7% and cost by 1.4%.</w:t>
      </w:r>
    </w:p>
    <w:p>
      <w:pPr>
        <w:widowControl/>
        <w:spacing w:before="0" w:after="0" w:line="240" w:lineRule="auto"/>
        <w:jc w:val="both"/>
      </w:pPr>
      <w:r>
        <w:rPr>
          <w:rFonts w:ascii="Times New Roman" w:hAnsi="Times New Roman" w:cs="Times New Roman"/>
          <w:b/>
          <w:sz w:val="20"/>
          <w:szCs w:val="20"/>
        </w:rPr>
        <w:t xml:space="preserve">To best answer RQ2:</w:t>
      </w:r>
      <w:r>
        <w:rPr>
          <w:rFonts w:ascii="Times New Roman" w:hAnsi="Times New Roman" w:cs="Times New Roman"/>
          <w:sz w:val="20"/>
          <w:szCs w:val="20"/>
        </w:rPr>
        <w:t xml:space="preserve"> slicing more than halved the token consumption of vulnerability detection and shortened its runtime by about a fifth. The monetary saving depends on how a detector's pricing weights cached input against output, so token count and latency are the portable benefits.</w:t>
      </w:r>
    </w:p>
    <w:p>
      <w:pPr>
        <w:widowControl/>
        <w:spacing w:before="0" w:after="0" w:line="240" w:lineRule="auto"/>
        <w:jc w:val="both"/>
      </w:pPr>
      <w:r>
        <w:rPr>
          <w:rFonts w:ascii="Times New Roman" w:hAnsi="Times New Roman" w:cs="Times New Roman"/>
          <w:b/>
          <w:sz w:val="20"/>
          <w:szCs w:val="20"/>
        </w:rPr>
        <w:t xml:space="preserve">RQ3 — Detection effectiveness.</w:t>
      </w:r>
      <w:r>
        <w:rPr>
          <w:rFonts w:ascii="Times New Roman" w:hAnsi="Times New Roman" w:cs="Times New Roman"/>
          <w:sz w:val="20"/>
          <w:szCs w:val="20"/>
        </w:rPr>
        <w:t xml:space="preserve"> Recall, precision, F1-score and kappa improved, false negatives fell from 62 to 44, and three categories improved, two held and three declined, most visibly DoS.</w:t>
      </w:r>
    </w:p>
    <w:p>
      <w:pPr>
        <w:widowControl/>
        <w:spacing w:before="0" w:after="0" w:line="240" w:lineRule="auto"/>
        <w:jc w:val="both"/>
      </w:pPr>
      <w:r>
        <w:rPr>
          <w:rFonts w:ascii="Times New Roman" w:hAnsi="Times New Roman" w:cs="Times New Roman"/>
          <w:b/>
          <w:sz w:val="20"/>
          <w:szCs w:val="20"/>
        </w:rPr>
        <w:t xml:space="preserve">To best answer RQ3:</w:t>
      </w:r>
      <w:r>
        <w:rPr>
          <w:rFonts w:ascii="Times New Roman" w:hAnsi="Times New Roman" w:cs="Times New Roman"/>
          <w:sz w:val="20"/>
          <w:szCs w:val="20"/>
        </w:rPr>
        <w:t xml:space="preserve"> slicing did not harm detection, and its gains came from recovered false negatives in categories with selective anchors, while the over-broad DoS anchor degraded that category. Because the gains are not significant, the firm conclusion is that taxonomy-aware input reduction is compatible with effective detection.</w:t>
      </w:r>
    </w:p>
    <w:p>
      <w:pPr>
        <w:keepNext/>
        <w:keepLines/>
        <w:widowControl/>
        <w:spacing w:before="160" w:after="80" w:line="240" w:lineRule="auto"/>
        <w:jc w:val="center"/>
      </w:pPr>
      <w:r>
        <w:rPr>
          <w:rFonts w:ascii="Times New Roman" w:hAnsi="Times New Roman" w:cs="Times New Roman"/>
          <w:smallCaps/>
          <w:sz w:val="20"/>
          <w:szCs w:val="20"/>
        </w:rPr>
        <w:t xml:space="preserve">V.  Limitations and Threats to Validity</w:t>
      </w:r>
    </w:p>
    <w:p>
      <w:pPr>
        <w:widowControl/>
        <w:spacing w:before="0" w:after="0" w:line="240" w:lineRule="auto"/>
        <w:jc w:val="both"/>
      </w:pPr>
      <w:r>
        <w:rPr>
          <w:rFonts w:ascii="Times New Roman" w:hAnsi="Times New Roman" w:cs="Times New Roman"/>
          <w:sz w:val="20"/>
          <w:szCs w:val="20"/>
        </w:rPr>
        <w:t xml:space="preserve">The results come from one detector, one benchmark sample and one run per arm. This section first addresses the strength of the detection results and the gap between token and cost savings, then design issues exposed by the evaluation, and finally threats arising from the validation criterion, the sample, the taxonomy and the detector.</w:t>
      </w:r>
    </w:p>
    <w:p>
      <w:pPr>
        <w:widowControl/>
        <w:spacing w:before="0" w:after="0" w:line="240" w:lineRule="auto"/>
        <w:ind w:left="0" w:firstLine="200"/>
        <w:jc w:val="both"/>
      </w:pPr>
      <w:r>
        <w:rPr>
          <w:rFonts w:ascii="Times New Roman" w:hAnsi="Times New Roman" w:cs="Times New Roman"/>
          <w:i/>
          <w:sz w:val="20"/>
          <w:szCs w:val="20"/>
        </w:rPr>
        <w:t xml:space="preserve">Statistical strength and cost.</w:t>
      </w:r>
      <w:r>
        <w:rPr>
          <w:rFonts w:ascii="Times New Roman" w:hAnsi="Times New Roman" w:cs="Times New Roman"/>
          <w:sz w:val="20"/>
          <w:szCs w:val="20"/>
        </w:rPr>
        <w:t xml:space="preserve"> The detection gains are not significant (p = 0.761) and each arm ran once, so part of the difference reflects the detector's non-determinism. Cost fell only 1.4% against a 56.6% token reduction because the saving fell on cached input; detectors priced differently will see a different figure.</w:t>
      </w:r>
    </w:p>
    <w:p>
      <w:pPr>
        <w:widowControl/>
        <w:spacing w:before="0" w:after="0" w:line="240" w:lineRule="auto"/>
        <w:ind w:left="0" w:firstLine="200"/>
        <w:jc w:val="both"/>
      </w:pPr>
      <w:r>
        <w:rPr>
          <w:rFonts w:ascii="Times New Roman" w:hAnsi="Times New Roman" w:cs="Times New Roman"/>
          <w:i/>
          <w:sz w:val="20"/>
          <w:szCs w:val="20"/>
        </w:rPr>
        <w:t xml:space="preserve">Anchor design.</w:t>
      </w:r>
      <w:r>
        <w:rPr>
          <w:rFonts w:ascii="Times New Roman" w:hAnsi="Times New Roman" w:cs="Times New Roman"/>
          <w:sz w:val="20"/>
          <w:szCs w:val="20"/>
        </w:rPr>
        <w:t xml:space="preserve"> The DoS anchor includes </w:t>
      </w:r>
      <w:r>
        <w:rPr>
          <w:rFonts w:ascii="Courier New" w:hAnsi="Courier New" w:cs="Courier New"/>
          <w:sz w:val="18"/>
          <w:szCs w:val="18"/>
        </w:rPr>
        <w:t xml:space="preserve">require</w:t>
      </w:r>
      <w:r>
        <w:rPr>
          <w:rFonts w:ascii="Times New Roman" w:hAnsi="Times New Roman" w:cs="Times New Roman"/>
          <w:sz w:val="20"/>
          <w:szCs w:val="20"/>
        </w:rPr>
        <w:t xml:space="preserve">, </w:t>
      </w:r>
      <w:r>
        <w:rPr>
          <w:rFonts w:ascii="Courier New" w:hAnsi="Courier New" w:cs="Courier New"/>
          <w:sz w:val="18"/>
          <w:szCs w:val="18"/>
        </w:rPr>
        <w:t xml:space="preserve">revert</w:t>
      </w:r>
      <w:r>
        <w:rPr>
          <w:rFonts w:ascii="Times New Roman" w:hAnsi="Times New Roman" w:cs="Times New Roman"/>
          <w:sz w:val="20"/>
          <w:szCs w:val="20"/>
        </w:rPr>
        <w:t xml:space="preserve"> and </w:t>
      </w:r>
      <w:r>
        <w:rPr>
          <w:rFonts w:ascii="Courier New" w:hAnsi="Courier New" w:cs="Courier New"/>
          <w:sz w:val="18"/>
          <w:szCs w:val="18"/>
        </w:rPr>
        <w:t xml:space="preserve">assert</w:t>
      </w:r>
      <w:r>
        <w:rPr>
          <w:rFonts w:ascii="Times New Roman" w:hAnsi="Times New Roman" w:cs="Times New Roman"/>
          <w:sz w:val="20"/>
          <w:szCs w:val="20"/>
        </w:rPr>
        <w:t xml:space="preserve">, which appear in almost every function, so nearly every block carries a DoS tag; the detector read that ubiquity as evidence and raised its DoS positives from 13 to 20 against 7 in the reference without recovering any false negative. Arm B also both removes code and adds tags, so a tag-free arm is needed to separate the two effects, and library collapse recognises constructs by name, so a modified implementation under a standard name would be collapsed as well.</w:t>
      </w:r>
    </w:p>
    <w:p>
      <w:pPr>
        <w:widowControl/>
        <w:spacing w:before="0" w:after="0" w:line="240" w:lineRule="auto"/>
        <w:ind w:left="0" w:firstLine="200"/>
        <w:jc w:val="both"/>
      </w:pPr>
      <w:r>
        <w:rPr>
          <w:rFonts w:ascii="Times New Roman" w:hAnsi="Times New Roman" w:cs="Times New Roman"/>
          <w:i/>
          <w:sz w:val="20"/>
          <w:szCs w:val="20"/>
        </w:rPr>
        <w:t xml:space="preserve">Validity.</w:t>
      </w:r>
      <w:r>
        <w:rPr>
          <w:rFonts w:ascii="Times New Roman" w:hAnsi="Times New Roman" w:cs="Times New Roman"/>
          <w:sz w:val="20"/>
          <w:szCs w:val="20"/>
        </w:rPr>
        <w:t xml:space="preserve"> DIVE labels whole contracts, so full retention means that each positive contract keeps some block tagged with the category, not necessarily the vulnerable statements, and the labels reflect a consensus of static analysers rather than audited ground truth. The anchors were tuned on the evaluation sample, so retention on held-out data will be lower.</w:t>
      </w:r>
    </w:p>
    <w:p>
      <w:pPr>
        <w:widowControl/>
        <w:spacing w:before="0" w:after="0" w:line="240" w:lineRule="auto"/>
        <w:ind w:left="0" w:firstLine="200"/>
        <w:jc w:val="both"/>
      </w:pPr>
      <w:r>
        <w:rPr>
          <w:rFonts w:ascii="Times New Roman" w:hAnsi="Times New Roman" w:cs="Times New Roman"/>
          <w:i/>
          <w:sz w:val="20"/>
          <w:szCs w:val="20"/>
        </w:rPr>
        <w:t xml:space="preserve">Scope.</w:t>
      </w:r>
      <w:r>
        <w:rPr>
          <w:rFonts w:ascii="Times New Roman" w:hAnsi="Times New Roman" w:cs="Times New Roman"/>
          <w:sz w:val="20"/>
          <w:szCs w:val="20"/>
        </w:rPr>
        <w:t xml:space="preserve"> The anchors cover DASP categories 1–8, the categories DIVE annotates; defects outside this taxonomy, or that span several interacting contracts, are not targeted. A single proprietary detector without sampling control was used, so transfer to other detectors remains untested.</w:t>
      </w:r>
    </w:p>
    <w:p>
      <w:pPr>
        <w:keepNext/>
        <w:keepLines/>
        <w:widowControl/>
        <w:spacing w:before="160" w:after="80" w:line="240" w:lineRule="auto"/>
        <w:jc w:val="center"/>
      </w:pPr>
      <w:r>
        <w:rPr>
          <w:rFonts w:ascii="Times New Roman" w:hAnsi="Times New Roman" w:cs="Times New Roman"/>
          <w:smallCaps/>
          <w:sz w:val="20"/>
          <w:szCs w:val="20"/>
        </w:rPr>
        <w:t xml:space="preserve">VI.  Conclusion and Future Work</w:t>
      </w:r>
    </w:p>
    <w:p>
      <w:pPr>
        <w:widowControl/>
        <w:spacing w:before="0" w:after="0" w:line="240" w:lineRule="auto"/>
        <w:jc w:val="both"/>
      </w:pPr>
      <w:r>
        <w:rPr>
          <w:rFonts w:ascii="Times New Roman" w:hAnsi="Times New Roman" w:cs="Times New Roman"/>
          <w:sz w:val="20"/>
          <w:szCs w:val="20"/>
        </w:rPr>
        <w:t xml:space="preserve">This paper addressed the token cost of smart contract vulnerability detection with AnchorSlice, a lexical slicing stage that reduces a contract to the fragments able to host each DASP category. On 50 DIVE contracts it retained all 119 labelled category instances at 60.2% of source characters and 7.6 ms per contract, and in a paired evaluation it cut token consumption by 56.6% and runtime by 19.7% while improving recall from 47.9% to 63.0% and F1-score from 42.7% to 50.0%. Because the slicer needs no model and no compilation, it can be placed in front of any source-level detector at negligible cost.</w:t>
      </w:r>
    </w:p>
    <w:p>
      <w:pPr>
        <w:widowControl/>
        <w:spacing w:before="0" w:after="0" w:line="240" w:lineRule="auto"/>
        <w:ind w:left="0" w:firstLine="200"/>
        <w:jc w:val="both"/>
      </w:pPr>
      <w:r>
        <w:rPr>
          <w:rFonts w:ascii="Times New Roman" w:hAnsi="Times New Roman" w:cs="Times New Roman"/>
          <w:sz w:val="20"/>
          <w:szCs w:val="20"/>
        </w:rPr>
        <w:t xml:space="preserve">Future work will add a tag-free arm to separate code removal from category hints, a selectivity threshold that suppresses over-broad anchors such as DoS, validation on a held-out DIVE split with repeated runs, and evaluation in front of other detectors, including open-weight models and LineGuard.</w:t>
      </w:r>
    </w:p>
    <w:p>
      <w:pPr>
        <w:keepNext/>
        <w:keepLines/>
        <w:widowControl/>
        <w:spacing w:before="160" w:after="80" w:line="240" w:lineRule="auto"/>
        <w:jc w:val="center"/>
      </w:pPr>
      <w:r>
        <w:rPr>
          <w:rFonts w:ascii="Times New Roman" w:hAnsi="Times New Roman" w:cs="Times New Roman"/>
          <w:smallCaps/>
          <w:sz w:val="20"/>
          <w:szCs w:val="20"/>
        </w:rPr>
        <w:t xml:space="preserve">References</w:t>
      </w:r>
    </w:p>
    <w:p>
      <w:pPr>
        <w:widowControl/>
        <w:spacing w:before="0" w:after="30" w:line="240" w:lineRule="auto"/>
        <w:ind w:left="340" w:hanging="340"/>
        <w:jc w:val="both"/>
      </w:pPr>
      <w:bookmarkStart w:id="1" w:name="ref_szabo1997"/>
      <w:r>
        <w:rPr>
          <w:rFonts w:ascii="Times New Roman" w:hAnsi="Times New Roman" w:cs="Times New Roman"/>
          <w:sz w:val="16"/>
          <w:szCs w:val="16"/>
        </w:rPr>
        <w:t xml:space="preserve">[1]	</w:t>
      </w:r>
      <w:r>
        <w:rPr>
          <w:rFonts w:ascii="Times New Roman" w:hAnsi="Times New Roman" w:cs="Times New Roman"/>
          <w:sz w:val="16"/>
          <w:szCs w:val="16"/>
        </w:rPr>
        <w:t xml:space="preserve">N. Szabo, “Formalizing and securing relationships on public networks,” </w:t>
      </w:r>
      <w:r>
        <w:rPr>
          <w:rFonts w:ascii="Times New Roman" w:hAnsi="Times New Roman" w:cs="Times New Roman"/>
          <w:i/>
          <w:sz w:val="16"/>
          <w:szCs w:val="16"/>
        </w:rPr>
        <w:t xml:space="preserve">First Monday</w:t>
      </w:r>
      <w:r>
        <w:rPr>
          <w:rFonts w:ascii="Times New Roman" w:hAnsi="Times New Roman" w:cs="Times New Roman"/>
          <w:sz w:val="16"/>
          <w:szCs w:val="16"/>
        </w:rPr>
        <w:t xml:space="preserve">, vol. 2, no. 9, 1997</w:t>
      </w:r>
      <w:r>
        <w:rPr>
          <w:rFonts w:ascii="Times New Roman" w:hAnsi="Times New Roman" w:cs="Times New Roman"/>
          <w:sz w:val="16"/>
          <w:szCs w:val="16"/>
        </w:rPr>
        <w:t xml:space="preserve">, doi: </w:t>
      </w:r>
      <w:hyperlink r:id="rIdLink1" w:history="1">
        <w:r>
          <w:rPr>
            <w:rFonts w:ascii="Times New Roman" w:hAnsi="Times New Roman" w:cs="Times New Roman"/>
            <w:color w:val="1F4FB5"/>
            <w:sz w:val="16"/>
            <w:szCs w:val="16"/>
          </w:rPr>
          <w:t xml:space="preserve">10.5210/fm.v2i9.548</w:t>
        </w:r>
      </w:hyperlink>
      <w:r>
        <w:rPr>
          <w:rFonts w:ascii="Times New Roman" w:hAnsi="Times New Roman" w:cs="Times New Roman"/>
          <w:sz w:val="16"/>
          <w:szCs w:val="16"/>
        </w:rPr>
        <w:t xml:space="preserve">.</w:t>
      </w:r>
      <w:bookmarkEnd w:id="1"/>
    </w:p>
    <w:p>
      <w:pPr>
        <w:widowControl/>
        <w:spacing w:before="0" w:after="30" w:line="240" w:lineRule="auto"/>
        <w:ind w:left="340" w:hanging="340"/>
        <w:jc w:val="both"/>
      </w:pPr>
      <w:bookmarkStart w:id="2" w:name="ref_luu2016"/>
      <w:r>
        <w:rPr>
          <w:rFonts w:ascii="Times New Roman" w:hAnsi="Times New Roman" w:cs="Times New Roman"/>
          <w:sz w:val="16"/>
          <w:szCs w:val="16"/>
        </w:rPr>
        <w:t xml:space="preserve">[2]	</w:t>
      </w:r>
      <w:r>
        <w:rPr>
          <w:rFonts w:ascii="Times New Roman" w:hAnsi="Times New Roman" w:cs="Times New Roman"/>
          <w:sz w:val="16"/>
          <w:szCs w:val="16"/>
        </w:rPr>
        <w:t xml:space="preserve">L. Luu, D.-H. Chu, H. Olickel, P. Saxena, and A. Hobor, “Making smart contracts smarter,”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2016, pp. 254–269</w:t>
      </w:r>
      <w:r>
        <w:rPr>
          <w:rFonts w:ascii="Times New Roman" w:hAnsi="Times New Roman" w:cs="Times New Roman"/>
          <w:sz w:val="16"/>
          <w:szCs w:val="16"/>
        </w:rPr>
        <w:t xml:space="preserve">, doi: </w:t>
      </w:r>
      <w:hyperlink r:id="rIdLink2" w:history="1">
        <w:r>
          <w:rPr>
            <w:rFonts w:ascii="Times New Roman" w:hAnsi="Times New Roman" w:cs="Times New Roman"/>
            <w:color w:val="1F4FB5"/>
            <w:sz w:val="16"/>
            <w:szCs w:val="16"/>
          </w:rPr>
          <w:t xml:space="preserve">10.1145/2976749.2978309</w:t>
        </w:r>
      </w:hyperlink>
      <w:r>
        <w:rPr>
          <w:rFonts w:ascii="Times New Roman" w:hAnsi="Times New Roman" w:cs="Times New Roman"/>
          <w:sz w:val="16"/>
          <w:szCs w:val="16"/>
        </w:rPr>
        <w:t xml:space="preserve">.</w:t>
      </w:r>
      <w:bookmarkEnd w:id="2"/>
    </w:p>
    <w:p>
      <w:pPr>
        <w:widowControl/>
        <w:spacing w:before="0" w:after="30" w:line="240" w:lineRule="auto"/>
        <w:ind w:left="340" w:hanging="340"/>
        <w:jc w:val="both"/>
      </w:pPr>
      <w:bookmarkStart w:id="3" w:name="ref_dasp"/>
      <w:r>
        <w:rPr>
          <w:rFonts w:ascii="Times New Roman" w:hAnsi="Times New Roman" w:cs="Times New Roman"/>
          <w:sz w:val="16"/>
          <w:szCs w:val="16"/>
        </w:rPr>
        <w:t xml:space="preserve">[3]	</w:t>
      </w:r>
      <w:r>
        <w:rPr>
          <w:rFonts w:ascii="Times New Roman" w:hAnsi="Times New Roman" w:cs="Times New Roman"/>
          <w:sz w:val="16"/>
          <w:szCs w:val="16"/>
        </w:rPr>
        <w:t xml:space="preserve">NCC Group, “Decentralized Application Security Project (DASP) Top 10,” 2018</w:t>
      </w:r>
      <w:r>
        <w:rPr>
          <w:rFonts w:ascii="Times New Roman" w:hAnsi="Times New Roman" w:cs="Times New Roman"/>
          <w:sz w:val="16"/>
          <w:szCs w:val="16"/>
        </w:rPr>
        <w:t xml:space="preserve">. [Online]. Available: </w:t>
      </w:r>
      <w:hyperlink r:id="rIdLink3" w:history="1">
        <w:r>
          <w:rPr>
            <w:rFonts w:ascii="Times New Roman" w:hAnsi="Times New Roman" w:cs="Times New Roman"/>
            <w:color w:val="1F4FB5"/>
            <w:sz w:val="16"/>
            <w:szCs w:val="16"/>
          </w:rPr>
          <w:t xml:space="preserve">https://dasp.co</w:t>
        </w:r>
      </w:hyperlink>
      <w:bookmarkEnd w:id="3"/>
    </w:p>
    <w:p>
      <w:pPr>
        <w:widowControl/>
        <w:spacing w:before="0" w:after="30" w:line="240" w:lineRule="auto"/>
        <w:ind w:left="340" w:hanging="340"/>
        <w:jc w:val="both"/>
      </w:pPr>
      <w:bookmarkStart w:id="4" w:name="ref_durieux2020"/>
      <w:r>
        <w:rPr>
          <w:rFonts w:ascii="Times New Roman" w:hAnsi="Times New Roman" w:cs="Times New Roman"/>
          <w:sz w:val="16"/>
          <w:szCs w:val="16"/>
        </w:rPr>
        <w:t xml:space="preserve">[4]	</w:t>
      </w:r>
      <w:r>
        <w:rPr>
          <w:rFonts w:ascii="Times New Roman" w:hAnsi="Times New Roman" w:cs="Times New Roman"/>
          <w:sz w:val="16"/>
          <w:szCs w:val="16"/>
        </w:rPr>
        <w:t xml:space="preserve">T. Durieux, J. F. Ferreira, R. Abreu, and P. Cruz, “Empirical review of automated analysis tools on 47,587 Ethereum smart contracts,” in </w:t>
      </w:r>
      <w:r>
        <w:rPr>
          <w:rFonts w:ascii="Times New Roman" w:hAnsi="Times New Roman" w:cs="Times New Roman"/>
          <w:i/>
          <w:sz w:val="16"/>
          <w:szCs w:val="16"/>
        </w:rPr>
        <w:t xml:space="preserve">Proc. ACM/IEEE Int. Conf. Software Engineering (ICSE)</w:t>
      </w:r>
      <w:r>
        <w:rPr>
          <w:rFonts w:ascii="Times New Roman" w:hAnsi="Times New Roman" w:cs="Times New Roman"/>
          <w:sz w:val="16"/>
          <w:szCs w:val="16"/>
        </w:rPr>
        <w:t xml:space="preserve">, 2020, pp. 530–541</w:t>
      </w:r>
      <w:r>
        <w:rPr>
          <w:rFonts w:ascii="Times New Roman" w:hAnsi="Times New Roman" w:cs="Times New Roman"/>
          <w:sz w:val="16"/>
          <w:szCs w:val="16"/>
        </w:rPr>
        <w:t xml:space="preserve">, doi: </w:t>
      </w:r>
      <w:hyperlink r:id="rIdLink4" w:history="1">
        <w:r>
          <w:rPr>
            <w:rFonts w:ascii="Times New Roman" w:hAnsi="Times New Roman" w:cs="Times New Roman"/>
            <w:color w:val="1F4FB5"/>
            <w:sz w:val="16"/>
            <w:szCs w:val="16"/>
          </w:rPr>
          <w:t xml:space="preserve">10.1145/3377811.3380364</w:t>
        </w:r>
      </w:hyperlink>
      <w:r>
        <w:rPr>
          <w:rFonts w:ascii="Times New Roman" w:hAnsi="Times New Roman" w:cs="Times New Roman"/>
          <w:sz w:val="16"/>
          <w:szCs w:val="16"/>
        </w:rPr>
        <w:t xml:space="preserve">.</w:t>
      </w:r>
      <w:bookmarkEnd w:id="4"/>
    </w:p>
    <w:p>
      <w:pPr>
        <w:widowControl/>
        <w:spacing w:before="0" w:after="30" w:line="240" w:lineRule="auto"/>
        <w:ind w:left="340" w:hanging="340"/>
        <w:jc w:val="both"/>
      </w:pPr>
      <w:bookmarkStart w:id="5" w:name="ref_ghaleb2020"/>
      <w:r>
        <w:rPr>
          <w:rFonts w:ascii="Times New Roman" w:hAnsi="Times New Roman" w:cs="Times New Roman"/>
          <w:sz w:val="16"/>
          <w:szCs w:val="16"/>
        </w:rPr>
        <w:t xml:space="preserve">[5]	</w:t>
      </w:r>
      <w:r>
        <w:rPr>
          <w:rFonts w:ascii="Times New Roman" w:hAnsi="Times New Roman" w:cs="Times New Roman"/>
          <w:sz w:val="16"/>
          <w:szCs w:val="16"/>
        </w:rPr>
        <w:t xml:space="preserve">A. Ghaleb and K. Pattabiraman, “How effective are smart contract analysis tools? Evaluating smart contract static analysis tools using bug injection,” in </w:t>
      </w:r>
      <w:r>
        <w:rPr>
          <w:rFonts w:ascii="Times New Roman" w:hAnsi="Times New Roman" w:cs="Times New Roman"/>
          <w:i/>
          <w:sz w:val="16"/>
          <w:szCs w:val="16"/>
        </w:rPr>
        <w:t xml:space="preserve">Proc. ACM SIGSOFT Int. Symp. Software Testing and Analysis (ISSTA)</w:t>
      </w:r>
      <w:r>
        <w:rPr>
          <w:rFonts w:ascii="Times New Roman" w:hAnsi="Times New Roman" w:cs="Times New Roman"/>
          <w:sz w:val="16"/>
          <w:szCs w:val="16"/>
        </w:rPr>
        <w:t xml:space="preserve">, 2020, pp. 415–427</w:t>
      </w:r>
      <w:r>
        <w:rPr>
          <w:rFonts w:ascii="Times New Roman" w:hAnsi="Times New Roman" w:cs="Times New Roman"/>
          <w:sz w:val="16"/>
          <w:szCs w:val="16"/>
        </w:rPr>
        <w:t xml:space="preserve">, doi: </w:t>
      </w:r>
      <w:hyperlink r:id="rIdLink5" w:history="1">
        <w:r>
          <w:rPr>
            <w:rFonts w:ascii="Times New Roman" w:hAnsi="Times New Roman" w:cs="Times New Roman"/>
            <w:color w:val="1F4FB5"/>
            <w:sz w:val="16"/>
            <w:szCs w:val="16"/>
          </w:rPr>
          <w:t xml:space="preserve">10.1145/3395363.3397385</w:t>
        </w:r>
      </w:hyperlink>
      <w:r>
        <w:rPr>
          <w:rFonts w:ascii="Times New Roman" w:hAnsi="Times New Roman" w:cs="Times New Roman"/>
          <w:sz w:val="16"/>
          <w:szCs w:val="16"/>
        </w:rPr>
        <w:t xml:space="preserve">.</w:t>
      </w:r>
      <w:bookmarkEnd w:id="5"/>
    </w:p>
    <w:p>
      <w:pPr>
        <w:widowControl/>
        <w:spacing w:before="0" w:after="30" w:line="240" w:lineRule="auto"/>
        <w:ind w:left="340" w:hanging="340"/>
        <w:jc w:val="both"/>
      </w:pPr>
      <w:bookmarkStart w:id="6" w:name="ref_feist2019"/>
      <w:r>
        <w:rPr>
          <w:rFonts w:ascii="Times New Roman" w:hAnsi="Times New Roman" w:cs="Times New Roman"/>
          <w:sz w:val="16"/>
          <w:szCs w:val="16"/>
        </w:rPr>
        <w:t xml:space="preserve">[6]	</w:t>
      </w:r>
      <w:r>
        <w:rPr>
          <w:rFonts w:ascii="Times New Roman" w:hAnsi="Times New Roman" w:cs="Times New Roman"/>
          <w:sz w:val="16"/>
          <w:szCs w:val="16"/>
        </w:rPr>
        <w:t xml:space="preserve">J. Feist, G. Grieco, and A. Groce, “Slither: A static analysis framework for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2019, pp. 8–15</w:t>
      </w:r>
      <w:r>
        <w:rPr>
          <w:rFonts w:ascii="Times New Roman" w:hAnsi="Times New Roman" w:cs="Times New Roman"/>
          <w:sz w:val="16"/>
          <w:szCs w:val="16"/>
        </w:rPr>
        <w:t xml:space="preserve">, doi: </w:t>
      </w:r>
      <w:hyperlink r:id="rIdLink6" w:history="1">
        <w:r>
          <w:rPr>
            <w:rFonts w:ascii="Times New Roman" w:hAnsi="Times New Roman" w:cs="Times New Roman"/>
            <w:color w:val="1F4FB5"/>
            <w:sz w:val="16"/>
            <w:szCs w:val="16"/>
          </w:rPr>
          <w:t xml:space="preserve">10.1109/WETSEB.2019.00008</w:t>
        </w:r>
      </w:hyperlink>
      <w:r>
        <w:rPr>
          <w:rFonts w:ascii="Times New Roman" w:hAnsi="Times New Roman" w:cs="Times New Roman"/>
          <w:sz w:val="16"/>
          <w:szCs w:val="16"/>
        </w:rPr>
        <w:t xml:space="preserve">.</w:t>
      </w:r>
      <w:bookmarkEnd w:id="6"/>
    </w:p>
    <w:p>
      <w:pPr>
        <w:widowControl/>
        <w:spacing w:before="0" w:after="30" w:line="240" w:lineRule="auto"/>
        <w:ind w:left="340" w:hanging="340"/>
        <w:jc w:val="both"/>
      </w:pPr>
      <w:bookmarkStart w:id="7" w:name="ref_zhuang2020"/>
      <w:r>
        <w:rPr>
          <w:rFonts w:ascii="Times New Roman" w:hAnsi="Times New Roman" w:cs="Times New Roman"/>
          <w:sz w:val="16"/>
          <w:szCs w:val="16"/>
        </w:rPr>
        <w:t xml:space="preserve">[7]	</w:t>
      </w:r>
      <w:r>
        <w:rPr>
          <w:rFonts w:ascii="Times New Roman" w:hAnsi="Times New Roman" w:cs="Times New Roman"/>
          <w:sz w:val="16"/>
          <w:szCs w:val="16"/>
        </w:rPr>
        <w:t xml:space="preserve">Y. Zhuang, Z. Liu, P. Qian, Q. Liu, X. Wang, and Q. He, “Smart contract vulnerability detection using graph neural network,” in </w:t>
      </w:r>
      <w:r>
        <w:rPr>
          <w:rFonts w:ascii="Times New Roman" w:hAnsi="Times New Roman" w:cs="Times New Roman"/>
          <w:i/>
          <w:sz w:val="16"/>
          <w:szCs w:val="16"/>
        </w:rPr>
        <w:t xml:space="preserve">Proc. Int. Joint Conf. Artificial Intelligence (IJCAI)</w:t>
      </w:r>
      <w:r>
        <w:rPr>
          <w:rFonts w:ascii="Times New Roman" w:hAnsi="Times New Roman" w:cs="Times New Roman"/>
          <w:sz w:val="16"/>
          <w:szCs w:val="16"/>
        </w:rPr>
        <w:t xml:space="preserve">, 2020, pp. 3283–3290</w:t>
      </w:r>
      <w:r>
        <w:rPr>
          <w:rFonts w:ascii="Times New Roman" w:hAnsi="Times New Roman" w:cs="Times New Roman"/>
          <w:sz w:val="16"/>
          <w:szCs w:val="16"/>
        </w:rPr>
        <w:t xml:space="preserve">, doi: </w:t>
      </w:r>
      <w:hyperlink r:id="rIdLink7" w:history="1">
        <w:r>
          <w:rPr>
            <w:rFonts w:ascii="Times New Roman" w:hAnsi="Times New Roman" w:cs="Times New Roman"/>
            <w:color w:val="1F4FB5"/>
            <w:sz w:val="16"/>
            <w:szCs w:val="16"/>
          </w:rPr>
          <w:t xml:space="preserve">10.24963/ijcai.2020/454</w:t>
        </w:r>
      </w:hyperlink>
      <w:r>
        <w:rPr>
          <w:rFonts w:ascii="Times New Roman" w:hAnsi="Times New Roman" w:cs="Times New Roman"/>
          <w:sz w:val="16"/>
          <w:szCs w:val="16"/>
        </w:rPr>
        <w:t xml:space="preserve">.</w:t>
      </w:r>
      <w:bookmarkEnd w:id="7"/>
    </w:p>
    <w:p>
      <w:pPr>
        <w:widowControl/>
        <w:spacing w:before="0" w:after="30" w:line="240" w:lineRule="auto"/>
        <w:ind w:left="340" w:hanging="340"/>
        <w:jc w:val="both"/>
      </w:pPr>
      <w:bookmarkStart w:id="8" w:name="ref_sun2024gptscan"/>
      <w:r>
        <w:rPr>
          <w:rFonts w:ascii="Times New Roman" w:hAnsi="Times New Roman" w:cs="Times New Roman"/>
          <w:sz w:val="16"/>
          <w:szCs w:val="16"/>
        </w:rPr>
        <w:t xml:space="preserve">[8]	</w:t>
      </w:r>
      <w:r>
        <w:rPr>
          <w:rFonts w:ascii="Times New Roman" w:hAnsi="Times New Roman" w:cs="Times New Roman"/>
          <w:sz w:val="16"/>
          <w:szCs w:val="16"/>
        </w:rPr>
        <w:t xml:space="preserve">Y. Sun, D. Wu, Y. Xue, H. Liu, H. Wang, Z. Xu, X. Xie, and Y. Liu, “GPTScan: Detecting logic vulnerabilities in smart contracts by combining GPT with program analysis,”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2024, pp. 1–13</w:t>
      </w:r>
      <w:r>
        <w:rPr>
          <w:rFonts w:ascii="Times New Roman" w:hAnsi="Times New Roman" w:cs="Times New Roman"/>
          <w:sz w:val="16"/>
          <w:szCs w:val="16"/>
        </w:rPr>
        <w:t xml:space="preserve">, doi: </w:t>
      </w:r>
      <w:hyperlink r:id="rIdLink8" w:history="1">
        <w:r>
          <w:rPr>
            <w:rFonts w:ascii="Times New Roman" w:hAnsi="Times New Roman" w:cs="Times New Roman"/>
            <w:color w:val="1F4FB5"/>
            <w:sz w:val="16"/>
            <w:szCs w:val="16"/>
          </w:rPr>
          <w:t xml:space="preserve">10.1145/3597503.3639117</w:t>
        </w:r>
      </w:hyperlink>
      <w:r>
        <w:rPr>
          <w:rFonts w:ascii="Times New Roman" w:hAnsi="Times New Roman" w:cs="Times New Roman"/>
          <w:sz w:val="16"/>
          <w:szCs w:val="16"/>
        </w:rPr>
        <w:t xml:space="preserve">.</w:t>
      </w:r>
      <w:bookmarkEnd w:id="8"/>
    </w:p>
    <w:p>
      <w:pPr>
        <w:widowControl/>
        <w:spacing w:before="0" w:after="30" w:line="240" w:lineRule="auto"/>
        <w:ind w:left="340" w:hanging="340"/>
        <w:jc w:val="both"/>
      </w:pPr>
      <w:bookmarkStart w:id="9" w:name="ref_hu2023gptlens"/>
      <w:r>
        <w:rPr>
          <w:rFonts w:ascii="Times New Roman" w:hAnsi="Times New Roman" w:cs="Times New Roman"/>
          <w:sz w:val="16"/>
          <w:szCs w:val="16"/>
        </w:rPr>
        <w:t xml:space="preserve">[9]	</w:t>
      </w:r>
      <w:r>
        <w:rPr>
          <w:rFonts w:ascii="Times New Roman" w:hAnsi="Times New Roman" w:cs="Times New Roman"/>
          <w:sz w:val="16"/>
          <w:szCs w:val="16"/>
        </w:rPr>
        <w:t xml:space="preserve">S. Hu, T. Huang, F. İlhan, S. F. Tekin, and L. Liu, “Large language model-powered smart contract vulnerability detection: New perspectives,” in </w:t>
      </w:r>
      <w:r>
        <w:rPr>
          <w:rFonts w:ascii="Times New Roman" w:hAnsi="Times New Roman" w:cs="Times New Roman"/>
          <w:i/>
          <w:sz w:val="16"/>
          <w:szCs w:val="16"/>
        </w:rPr>
        <w:t xml:space="preserve">Proc. IEEE Int. Conf. Trust, Privacy and Security in Intelligent Systems and Applications (TPS-ISA)</w:t>
      </w:r>
      <w:r>
        <w:rPr>
          <w:rFonts w:ascii="Times New Roman" w:hAnsi="Times New Roman" w:cs="Times New Roman"/>
          <w:sz w:val="16"/>
          <w:szCs w:val="16"/>
        </w:rPr>
        <w:t xml:space="preserve">, 2023, pp. 297–306</w:t>
      </w:r>
      <w:r>
        <w:rPr>
          <w:rFonts w:ascii="Times New Roman" w:hAnsi="Times New Roman" w:cs="Times New Roman"/>
          <w:sz w:val="16"/>
          <w:szCs w:val="16"/>
        </w:rPr>
        <w:t xml:space="preserve">, doi: </w:t>
      </w:r>
      <w:hyperlink r:id="rIdLink9" w:history="1">
        <w:r>
          <w:rPr>
            <w:rFonts w:ascii="Times New Roman" w:hAnsi="Times New Roman" w:cs="Times New Roman"/>
            <w:color w:val="1F4FB5"/>
            <w:sz w:val="16"/>
            <w:szCs w:val="16"/>
          </w:rPr>
          <w:t xml:space="preserve">10.1109/TPS-ISA58951.2023.00044</w:t>
        </w:r>
      </w:hyperlink>
      <w:r>
        <w:rPr>
          <w:rFonts w:ascii="Times New Roman" w:hAnsi="Times New Roman" w:cs="Times New Roman"/>
          <w:sz w:val="16"/>
          <w:szCs w:val="16"/>
        </w:rPr>
        <w:t xml:space="preserve">.</w:t>
      </w:r>
      <w:bookmarkEnd w:id="9"/>
    </w:p>
    <w:p>
      <w:pPr>
        <w:widowControl/>
        <w:spacing w:before="0" w:after="30" w:line="240" w:lineRule="auto"/>
        <w:ind w:left="340" w:hanging="340"/>
        <w:jc w:val="both"/>
      </w:pPr>
      <w:bookmarkStart w:id="10" w:name="ref_ma2025iaudit"/>
      <w:r>
        <w:rPr>
          <w:rFonts w:ascii="Times New Roman" w:hAnsi="Times New Roman" w:cs="Times New Roman"/>
          <w:sz w:val="16"/>
          <w:szCs w:val="16"/>
        </w:rPr>
        <w:t xml:space="preserve">[10]	</w:t>
      </w:r>
      <w:r>
        <w:rPr>
          <w:rFonts w:ascii="Times New Roman" w:hAnsi="Times New Roman" w:cs="Times New Roman"/>
          <w:sz w:val="16"/>
          <w:szCs w:val="16"/>
        </w:rPr>
        <w:t xml:space="preserve">W. Ma, D. Wu, Y. Sun, T. Wang, S. Liu, J. Zhang, Y. Xue, and Y. Liu, “Combining fine-tuning and LLM-based agents for intuitive smart contract auditing with justifications,” in </w:t>
      </w:r>
      <w:r>
        <w:rPr>
          <w:rFonts w:ascii="Times New Roman" w:hAnsi="Times New Roman" w:cs="Times New Roman"/>
          <w:i/>
          <w:sz w:val="16"/>
          <w:szCs w:val="16"/>
        </w:rPr>
        <w:t xml:space="preserve">Proc. IEEE/ACM Int. Conf. Software Engineering (ICSE)</w:t>
      </w:r>
      <w:r>
        <w:rPr>
          <w:rFonts w:ascii="Times New Roman" w:hAnsi="Times New Roman" w:cs="Times New Roman"/>
          <w:sz w:val="16"/>
          <w:szCs w:val="16"/>
        </w:rPr>
        <w:t xml:space="preserve">, 2025, pp. 1–13</w:t>
      </w:r>
      <w:r>
        <w:rPr>
          <w:rFonts w:ascii="Times New Roman" w:hAnsi="Times New Roman" w:cs="Times New Roman"/>
          <w:sz w:val="16"/>
          <w:szCs w:val="16"/>
        </w:rPr>
        <w:t xml:space="preserve">, </w:t>
      </w:r>
      <w:hyperlink r:id="rIdLink10" w:history="1">
        <w:r>
          <w:rPr>
            <w:rFonts w:ascii="Times New Roman" w:hAnsi="Times New Roman" w:cs="Times New Roman"/>
            <w:color w:val="1F4FB5"/>
            <w:sz w:val="16"/>
            <w:szCs w:val="16"/>
          </w:rPr>
          <w:t xml:space="preserve">arXiv:2403.16073</w:t>
        </w:r>
      </w:hyperlink>
      <w:r>
        <w:rPr>
          <w:rFonts w:ascii="Times New Roman" w:hAnsi="Times New Roman" w:cs="Times New Roman"/>
          <w:sz w:val="16"/>
          <w:szCs w:val="16"/>
        </w:rPr>
        <w:t xml:space="preserve">.</w:t>
      </w:r>
      <w:bookmarkEnd w:id="10"/>
    </w:p>
    <w:p>
      <w:pPr>
        <w:widowControl/>
        <w:spacing w:before="0" w:after="30" w:line="240" w:lineRule="auto"/>
        <w:ind w:left="340" w:hanging="340"/>
        <w:jc w:val="both"/>
      </w:pPr>
      <w:bookmarkStart w:id="11" w:name="ref_he2024review"/>
      <w:r>
        <w:rPr>
          <w:rFonts w:ascii="Times New Roman" w:hAnsi="Times New Roman" w:cs="Times New Roman"/>
          <w:sz w:val="16"/>
          <w:szCs w:val="16"/>
        </w:rPr>
        <w:t xml:space="preserve">[11]	</w:t>
      </w:r>
      <w:r>
        <w:rPr>
          <w:rFonts w:ascii="Times New Roman" w:hAnsi="Times New Roman" w:cs="Times New Roman"/>
          <w:sz w:val="16"/>
          <w:szCs w:val="16"/>
        </w:rPr>
        <w:t xml:space="preserve">Z. He, Z. Li, S. Yang, A. Qiao, X. Zhang, X. Luo, and T. Chen, “Large language models for blockchain security: A systematic literature review,” 2024</w:t>
      </w:r>
      <w:r>
        <w:rPr>
          <w:rFonts w:ascii="Times New Roman" w:hAnsi="Times New Roman" w:cs="Times New Roman"/>
          <w:sz w:val="16"/>
          <w:szCs w:val="16"/>
        </w:rPr>
        <w:t xml:space="preserve">, </w:t>
      </w:r>
      <w:hyperlink r:id="rIdLink11" w:history="1">
        <w:r>
          <w:rPr>
            <w:rFonts w:ascii="Times New Roman" w:hAnsi="Times New Roman" w:cs="Times New Roman"/>
            <w:color w:val="1F4FB5"/>
            <w:sz w:val="16"/>
            <w:szCs w:val="16"/>
          </w:rPr>
          <w:t xml:space="preserve">arXiv:2403.14280</w:t>
        </w:r>
      </w:hyperlink>
      <w:r>
        <w:rPr>
          <w:rFonts w:ascii="Times New Roman" w:hAnsi="Times New Roman" w:cs="Times New Roman"/>
          <w:sz w:val="16"/>
          <w:szCs w:val="16"/>
        </w:rPr>
        <w:t xml:space="preserve">.</w:t>
      </w:r>
      <w:bookmarkEnd w:id="11"/>
    </w:p>
    <w:p>
      <w:pPr>
        <w:widowControl/>
        <w:spacing w:before="0" w:after="30" w:line="240" w:lineRule="auto"/>
        <w:ind w:left="340" w:hanging="340"/>
        <w:jc w:val="both"/>
      </w:pPr>
      <w:bookmarkStart w:id="12" w:name="ref_liu2024lost"/>
      <w:r>
        <w:rPr>
          <w:rFonts w:ascii="Times New Roman" w:hAnsi="Times New Roman" w:cs="Times New Roman"/>
          <w:sz w:val="16"/>
          <w:szCs w:val="16"/>
        </w:rPr>
        <w:t xml:space="preserve">[12]	</w:t>
      </w:r>
      <w:r>
        <w:rPr>
          <w:rFonts w:ascii="Times New Roman" w:hAnsi="Times New Roman" w:cs="Times New Roman"/>
          <w:sz w:val="16"/>
          <w:szCs w:val="16"/>
        </w:rPr>
        <w:t xml:space="preserve">N. F. Liu, K. Lin, J. Hewitt, A. Paranjape, M. Bevilacqua, F. Petroni, and P. Liang, “Lost in the middle: How language models use long contexts,” </w:t>
      </w:r>
      <w:r>
        <w:rPr>
          <w:rFonts w:ascii="Times New Roman" w:hAnsi="Times New Roman" w:cs="Times New Roman"/>
          <w:i/>
          <w:sz w:val="16"/>
          <w:szCs w:val="16"/>
        </w:rPr>
        <w:t xml:space="preserve">Trans. Assoc. Computational Linguistics</w:t>
      </w:r>
      <w:r>
        <w:rPr>
          <w:rFonts w:ascii="Times New Roman" w:hAnsi="Times New Roman" w:cs="Times New Roman"/>
          <w:sz w:val="16"/>
          <w:szCs w:val="16"/>
        </w:rPr>
        <w:t xml:space="preserve">, vol. 12, pp. 157–173, 2024</w:t>
      </w:r>
      <w:r>
        <w:rPr>
          <w:rFonts w:ascii="Times New Roman" w:hAnsi="Times New Roman" w:cs="Times New Roman"/>
          <w:sz w:val="16"/>
          <w:szCs w:val="16"/>
        </w:rPr>
        <w:t xml:space="preserve">, doi: </w:t>
      </w:r>
      <w:hyperlink r:id="rIdLink12" w:history="1">
        <w:r>
          <w:rPr>
            <w:rFonts w:ascii="Times New Roman" w:hAnsi="Times New Roman" w:cs="Times New Roman"/>
            <w:color w:val="1F4FB5"/>
            <w:sz w:val="16"/>
            <w:szCs w:val="16"/>
          </w:rPr>
          <w:t xml:space="preserve">10.1162/tacl_a_00638</w:t>
        </w:r>
      </w:hyperlink>
      <w:r>
        <w:rPr>
          <w:rFonts w:ascii="Times New Roman" w:hAnsi="Times New Roman" w:cs="Times New Roman"/>
          <w:sz w:val="16"/>
          <w:szCs w:val="16"/>
        </w:rPr>
        <w:t xml:space="preserve">.</w:t>
      </w:r>
      <w:bookmarkEnd w:id="12"/>
    </w:p>
    <w:p>
      <w:pPr>
        <w:widowControl/>
        <w:spacing w:before="0" w:after="30" w:line="240" w:lineRule="auto"/>
        <w:ind w:left="340" w:hanging="340"/>
        <w:jc w:val="both"/>
      </w:pPr>
      <w:bookmarkStart w:id="13" w:name="ref_jiang2023llmlingua"/>
      <w:r>
        <w:rPr>
          <w:rFonts w:ascii="Times New Roman" w:hAnsi="Times New Roman" w:cs="Times New Roman"/>
          <w:sz w:val="16"/>
          <w:szCs w:val="16"/>
        </w:rPr>
        <w:t xml:space="preserve">[13]	</w:t>
      </w:r>
      <w:r>
        <w:rPr>
          <w:rFonts w:ascii="Times New Roman" w:hAnsi="Times New Roman" w:cs="Times New Roman"/>
          <w:sz w:val="16"/>
          <w:szCs w:val="16"/>
        </w:rPr>
        <w:t xml:space="preserve">H. Jiang, Q. Wu, C.-Y. Lin, Y. Yang, and L. Qiu, “LLMLingua: Compressing prompts for accelerated inference of large language models,” in </w:t>
      </w:r>
      <w:r>
        <w:rPr>
          <w:rFonts w:ascii="Times New Roman" w:hAnsi="Times New Roman" w:cs="Times New Roman"/>
          <w:i/>
          <w:sz w:val="16"/>
          <w:szCs w:val="16"/>
        </w:rPr>
        <w:t xml:space="preserve">Proc. Conf. Empirical Methods in Natural Language Processing (EMNLP)</w:t>
      </w:r>
      <w:r>
        <w:rPr>
          <w:rFonts w:ascii="Times New Roman" w:hAnsi="Times New Roman" w:cs="Times New Roman"/>
          <w:sz w:val="16"/>
          <w:szCs w:val="16"/>
        </w:rPr>
        <w:t xml:space="preserve">, 2023, pp. 13358–13376</w:t>
      </w:r>
      <w:r>
        <w:rPr>
          <w:rFonts w:ascii="Times New Roman" w:hAnsi="Times New Roman" w:cs="Times New Roman"/>
          <w:sz w:val="16"/>
          <w:szCs w:val="16"/>
        </w:rPr>
        <w:t xml:space="preserve">, doi: </w:t>
      </w:r>
      <w:hyperlink r:id="rIdLink13" w:history="1">
        <w:r>
          <w:rPr>
            <w:rFonts w:ascii="Times New Roman" w:hAnsi="Times New Roman" w:cs="Times New Roman"/>
            <w:color w:val="1F4FB5"/>
            <w:sz w:val="16"/>
            <w:szCs w:val="16"/>
          </w:rPr>
          <w:t xml:space="preserve">10.18653/v1/2023.emnlp-main.825</w:t>
        </w:r>
      </w:hyperlink>
      <w:r>
        <w:rPr>
          <w:rFonts w:ascii="Times New Roman" w:hAnsi="Times New Roman" w:cs="Times New Roman"/>
          <w:sz w:val="16"/>
          <w:szCs w:val="16"/>
        </w:rPr>
        <w:t xml:space="preserve">.</w:t>
      </w:r>
      <w:bookmarkEnd w:id="13"/>
    </w:p>
    <w:p>
      <w:pPr>
        <w:widowControl/>
        <w:spacing w:before="0" w:after="30" w:line="240" w:lineRule="auto"/>
        <w:ind w:left="340" w:hanging="340"/>
        <w:jc w:val="both"/>
      </w:pPr>
      <w:bookmarkStart w:id="14" w:name="ref_weiser1981"/>
      <w:r>
        <w:rPr>
          <w:rFonts w:ascii="Times New Roman" w:hAnsi="Times New Roman" w:cs="Times New Roman"/>
          <w:sz w:val="16"/>
          <w:szCs w:val="16"/>
        </w:rPr>
        <w:t xml:space="preserve">[14]	</w:t>
      </w:r>
      <w:r>
        <w:rPr>
          <w:rFonts w:ascii="Times New Roman" w:hAnsi="Times New Roman" w:cs="Times New Roman"/>
          <w:sz w:val="16"/>
          <w:szCs w:val="16"/>
        </w:rPr>
        <w:t xml:space="preserve">M. Weiser, “Program slicing,” in </w:t>
      </w:r>
      <w:r>
        <w:rPr>
          <w:rFonts w:ascii="Times New Roman" w:hAnsi="Times New Roman" w:cs="Times New Roman"/>
          <w:i/>
          <w:sz w:val="16"/>
          <w:szCs w:val="16"/>
        </w:rPr>
        <w:t xml:space="preserve">Proc. Int. Conf. Software Engineering (ICSE)</w:t>
      </w:r>
      <w:r>
        <w:rPr>
          <w:rFonts w:ascii="Times New Roman" w:hAnsi="Times New Roman" w:cs="Times New Roman"/>
          <w:sz w:val="16"/>
          <w:szCs w:val="16"/>
        </w:rPr>
        <w:t xml:space="preserve">, 1981, pp. 439–449</w:t>
      </w:r>
      <w:r>
        <w:rPr>
          <w:rFonts w:ascii="Times New Roman" w:hAnsi="Times New Roman" w:cs="Times New Roman"/>
          <w:sz w:val="16"/>
          <w:szCs w:val="16"/>
        </w:rPr>
        <w:t xml:space="preserve">. [Online]. Available: </w:t>
      </w:r>
      <w:hyperlink r:id="rIdLink14" w:history="1">
        <w:r>
          <w:rPr>
            <w:rFonts w:ascii="Times New Roman" w:hAnsi="Times New Roman" w:cs="Times New Roman"/>
            <w:color w:val="1F4FB5"/>
            <w:sz w:val="16"/>
            <w:szCs w:val="16"/>
          </w:rPr>
          <w:t xml:space="preserve">https://dl.acm.org/doi/10.5555/800078.802557</w:t>
        </w:r>
      </w:hyperlink>
      <w:bookmarkEnd w:id="14"/>
    </w:p>
    <w:p>
      <w:pPr>
        <w:widowControl/>
        <w:spacing w:before="0" w:after="30" w:line="240" w:lineRule="auto"/>
        <w:ind w:left="340" w:hanging="340"/>
        <w:jc w:val="both"/>
      </w:pPr>
      <w:bookmarkStart w:id="15" w:name="ref_lineguard"/>
      <w:r>
        <w:rPr>
          <w:rFonts w:ascii="Times New Roman" w:hAnsi="Times New Roman" w:cs="Times New Roman"/>
          <w:sz w:val="16"/>
          <w:szCs w:val="16"/>
        </w:rPr>
        <w:t xml:space="preserve">[15]	</w:t>
      </w:r>
      <w:r>
        <w:rPr>
          <w:rFonts w:ascii="Times New Roman" w:hAnsi="Times New Roman" w:cs="Times New Roman"/>
          <w:sz w:val="16"/>
          <w:szCs w:val="16"/>
        </w:rPr>
        <w:t xml:space="preserve">P. Pakshad, S. Aghanasiri, A. Shameli-Sendi, and M. Omar, “LineGuard: An LLM-based smart contract vulnerability detection,” unpublished</w:t>
      </w:r>
      <w:r>
        <w:rPr>
          <w:rFonts w:ascii="Times New Roman" w:hAnsi="Times New Roman" w:cs="Times New Roman"/>
          <w:sz w:val="16"/>
          <w:szCs w:val="16"/>
        </w:rPr>
        <w:t xml:space="preserve">. [Online]. Available: </w:t>
      </w:r>
      <w:hyperlink r:id="rIdLink15" w:history="1">
        <w:r>
          <w:rPr>
            <w:rFonts w:ascii="Times New Roman" w:hAnsi="Times New Roman" w:cs="Times New Roman"/>
            <w:color w:val="1F4FB5"/>
            <w:sz w:val="16"/>
            <w:szCs w:val="16"/>
          </w:rPr>
          <w:t xml:space="preserve">https://github.com/sjag77/LineGuard</w:t>
        </w:r>
      </w:hyperlink>
      <w:bookmarkEnd w:id="15"/>
    </w:p>
    <w:p>
      <w:pPr>
        <w:widowControl/>
        <w:spacing w:before="0" w:after="30" w:line="240" w:lineRule="auto"/>
        <w:ind w:left="340" w:hanging="340"/>
        <w:jc w:val="both"/>
      </w:pPr>
      <w:bookmarkStart w:id="16" w:name="ref_dive2026"/>
      <w:r>
        <w:rPr>
          <w:rFonts w:ascii="Times New Roman" w:hAnsi="Times New Roman" w:cs="Times New Roman"/>
          <w:sz w:val="16"/>
          <w:szCs w:val="16"/>
        </w:rPr>
        <w:t xml:space="preserve">[16]	</w:t>
      </w:r>
      <w:r>
        <w:rPr>
          <w:rFonts w:ascii="Times New Roman" w:hAnsi="Times New Roman" w:cs="Times New Roman"/>
          <w:sz w:val="16"/>
          <w:szCs w:val="16"/>
        </w:rPr>
        <w:t xml:space="preserve">S. J. Alsunaidi, H. Aljamaan, and M. Hammoudeh, “DIVE: A multi-label smart contract vulnerability dataset,” </w:t>
      </w:r>
      <w:r>
        <w:rPr>
          <w:rFonts w:ascii="Times New Roman" w:hAnsi="Times New Roman" w:cs="Times New Roman"/>
          <w:i/>
          <w:sz w:val="16"/>
          <w:szCs w:val="16"/>
        </w:rPr>
        <w:t xml:space="preserve">Scientific Data</w:t>
      </w:r>
      <w:r>
        <w:rPr>
          <w:rFonts w:ascii="Times New Roman" w:hAnsi="Times New Roman" w:cs="Times New Roman"/>
          <w:sz w:val="16"/>
          <w:szCs w:val="16"/>
        </w:rPr>
        <w:t xml:space="preserve">, vol. 13, art. 664, 2026; dataset</w:t>
      </w:r>
      <w:r>
        <w:rPr>
          <w:rFonts w:ascii="Times New Roman" w:hAnsi="Times New Roman" w:cs="Times New Roman"/>
          <w:sz w:val="16"/>
          <w:szCs w:val="16"/>
        </w:rPr>
        <w:t xml:space="preserve">, doi: </w:t>
      </w:r>
      <w:hyperlink r:id="rIdLink16" w:history="1">
        <w:r>
          <w:rPr>
            <w:rFonts w:ascii="Times New Roman" w:hAnsi="Times New Roman" w:cs="Times New Roman"/>
            <w:color w:val="1F4FB5"/>
            <w:sz w:val="16"/>
            <w:szCs w:val="16"/>
          </w:rPr>
          <w:t xml:space="preserve">10.5281/zenodo.18519253</w:t>
        </w:r>
      </w:hyperlink>
      <w:r>
        <w:rPr>
          <w:rFonts w:ascii="Times New Roman" w:hAnsi="Times New Roman" w:cs="Times New Roman"/>
          <w:sz w:val="16"/>
          <w:szCs w:val="16"/>
        </w:rPr>
        <w:t xml:space="preserve">.</w:t>
      </w:r>
      <w:bookmarkEnd w:id="16"/>
    </w:p>
    <w:p>
      <w:pPr>
        <w:widowControl/>
        <w:spacing w:before="0" w:after="30" w:line="240" w:lineRule="auto"/>
        <w:ind w:left="340" w:hanging="340"/>
        <w:jc w:val="both"/>
      </w:pPr>
      <w:bookmarkStart w:id="17" w:name="ref_tsankov2018"/>
      <w:r>
        <w:rPr>
          <w:rFonts w:ascii="Times New Roman" w:hAnsi="Times New Roman" w:cs="Times New Roman"/>
          <w:sz w:val="16"/>
          <w:szCs w:val="16"/>
        </w:rPr>
        <w:t xml:space="preserve">[17]	</w:t>
      </w:r>
      <w:r>
        <w:rPr>
          <w:rFonts w:ascii="Times New Roman" w:hAnsi="Times New Roman" w:cs="Times New Roman"/>
          <w:sz w:val="16"/>
          <w:szCs w:val="16"/>
        </w:rPr>
        <w:t xml:space="preserve">P. Tsankov, A. Dan, D. Drachsler-Cohen, A. Gervais, F. Bünzli, and M. Vechev, “Securify: Practical security analysis of smart contracts,” in </w:t>
      </w:r>
      <w:r>
        <w:rPr>
          <w:rFonts w:ascii="Times New Roman" w:hAnsi="Times New Roman" w:cs="Times New Roman"/>
          <w:i/>
          <w:sz w:val="16"/>
          <w:szCs w:val="16"/>
        </w:rPr>
        <w:t xml:space="preserve">Proc. ACM SIGSAC Conf. Computer and Communications Security (CCS)</w:t>
      </w:r>
      <w:r>
        <w:rPr>
          <w:rFonts w:ascii="Times New Roman" w:hAnsi="Times New Roman" w:cs="Times New Roman"/>
          <w:sz w:val="16"/>
          <w:szCs w:val="16"/>
        </w:rPr>
        <w:t xml:space="preserve">, 2018, pp. 67–82</w:t>
      </w:r>
      <w:r>
        <w:rPr>
          <w:rFonts w:ascii="Times New Roman" w:hAnsi="Times New Roman" w:cs="Times New Roman"/>
          <w:sz w:val="16"/>
          <w:szCs w:val="16"/>
        </w:rPr>
        <w:t xml:space="preserve">, doi: </w:t>
      </w:r>
      <w:hyperlink r:id="rIdLink17" w:history="1">
        <w:r>
          <w:rPr>
            <w:rFonts w:ascii="Times New Roman" w:hAnsi="Times New Roman" w:cs="Times New Roman"/>
            <w:color w:val="1F4FB5"/>
            <w:sz w:val="16"/>
            <w:szCs w:val="16"/>
          </w:rPr>
          <w:t xml:space="preserve">10.1145/3243734.3243780</w:t>
        </w:r>
      </w:hyperlink>
      <w:r>
        <w:rPr>
          <w:rFonts w:ascii="Times New Roman" w:hAnsi="Times New Roman" w:cs="Times New Roman"/>
          <w:sz w:val="16"/>
          <w:szCs w:val="16"/>
        </w:rPr>
        <w:t xml:space="preserve">.</w:t>
      </w:r>
      <w:bookmarkEnd w:id="17"/>
    </w:p>
    <w:p>
      <w:pPr>
        <w:widowControl/>
        <w:spacing w:before="0" w:after="30" w:line="240" w:lineRule="auto"/>
        <w:ind w:left="340" w:hanging="340"/>
        <w:jc w:val="both"/>
      </w:pPr>
      <w:bookmarkStart w:id="18" w:name="ref_tikhomirov2018"/>
      <w:r>
        <w:rPr>
          <w:rFonts w:ascii="Times New Roman" w:hAnsi="Times New Roman" w:cs="Times New Roman"/>
          <w:sz w:val="16"/>
          <w:szCs w:val="16"/>
        </w:rPr>
        <w:t xml:space="preserve">[18]	</w:t>
      </w:r>
      <w:r>
        <w:rPr>
          <w:rFonts w:ascii="Times New Roman" w:hAnsi="Times New Roman" w:cs="Times New Roman"/>
          <w:sz w:val="16"/>
          <w:szCs w:val="16"/>
        </w:rPr>
        <w:t xml:space="preserve">S. Tikhomirov, E. Voskresenskaya, I. Ivanitskiy, R. Takhaviev, E. Marchenko, and Y. Alexandrov, “SmartCheck: Static analysis of Ethereum smart contracts,” in </w:t>
      </w:r>
      <w:r>
        <w:rPr>
          <w:rFonts w:ascii="Times New Roman" w:hAnsi="Times New Roman" w:cs="Times New Roman"/>
          <w:i/>
          <w:sz w:val="16"/>
          <w:szCs w:val="16"/>
        </w:rPr>
        <w:t xml:space="preserve">Proc. IEEE/ACM Int. Workshop on Emerging Trends in Software Engineering for Blockchain (WETSEB)</w:t>
      </w:r>
      <w:r>
        <w:rPr>
          <w:rFonts w:ascii="Times New Roman" w:hAnsi="Times New Roman" w:cs="Times New Roman"/>
          <w:sz w:val="16"/>
          <w:szCs w:val="16"/>
        </w:rPr>
        <w:t xml:space="preserve">, 2018, pp. 9–16</w:t>
      </w:r>
      <w:r>
        <w:rPr>
          <w:rFonts w:ascii="Times New Roman" w:hAnsi="Times New Roman" w:cs="Times New Roman"/>
          <w:sz w:val="16"/>
          <w:szCs w:val="16"/>
        </w:rPr>
        <w:t xml:space="preserve">, doi: </w:t>
      </w:r>
      <w:hyperlink r:id="rIdLink18" w:history="1">
        <w:r>
          <w:rPr>
            <w:rFonts w:ascii="Times New Roman" w:hAnsi="Times New Roman" w:cs="Times New Roman"/>
            <w:color w:val="1F4FB5"/>
            <w:sz w:val="16"/>
            <w:szCs w:val="16"/>
          </w:rPr>
          <w:t xml:space="preserve">10.1145/3194113.3194115</w:t>
        </w:r>
      </w:hyperlink>
      <w:r>
        <w:rPr>
          <w:rFonts w:ascii="Times New Roman" w:hAnsi="Times New Roman" w:cs="Times New Roman"/>
          <w:sz w:val="16"/>
          <w:szCs w:val="16"/>
        </w:rPr>
        <w:t xml:space="preserve">.</w:t>
      </w:r>
      <w:bookmarkEnd w:id="18"/>
    </w:p>
    <w:p>
      <w:pPr>
        <w:widowControl/>
        <w:spacing w:before="0" w:after="30" w:line="240" w:lineRule="auto"/>
        <w:ind w:left="340" w:hanging="340"/>
        <w:jc w:val="both"/>
      </w:pPr>
      <w:bookmarkStart w:id="19" w:name="ref_mythril"/>
      <w:r>
        <w:rPr>
          <w:rFonts w:ascii="Times New Roman" w:hAnsi="Times New Roman" w:cs="Times New Roman"/>
          <w:sz w:val="16"/>
          <w:szCs w:val="16"/>
        </w:rPr>
        <w:t xml:space="preserve">[19]	</w:t>
      </w:r>
      <w:r>
        <w:rPr>
          <w:rFonts w:ascii="Times New Roman" w:hAnsi="Times New Roman" w:cs="Times New Roman"/>
          <w:sz w:val="16"/>
          <w:szCs w:val="16"/>
        </w:rPr>
        <w:t xml:space="preserve">ConsenSys, “Mythril: Security analysis tool for EVM bytecode,” 2018</w:t>
      </w:r>
      <w:r>
        <w:rPr>
          <w:rFonts w:ascii="Times New Roman" w:hAnsi="Times New Roman" w:cs="Times New Roman"/>
          <w:sz w:val="16"/>
          <w:szCs w:val="16"/>
        </w:rPr>
        <w:t xml:space="preserve">. [Online]. Available: </w:t>
      </w:r>
      <w:hyperlink r:id="rIdLink19" w:history="1">
        <w:r>
          <w:rPr>
            <w:rFonts w:ascii="Times New Roman" w:hAnsi="Times New Roman" w:cs="Times New Roman"/>
            <w:color w:val="1F4FB5"/>
            <w:sz w:val="16"/>
            <w:szCs w:val="16"/>
          </w:rPr>
          <w:t xml:space="preserve">https://github.com/ConsenSys/mythril</w:t>
        </w:r>
      </w:hyperlink>
      <w:bookmarkEnd w:id="19"/>
    </w:p>
    <w:p>
      <w:pPr>
        <w:widowControl/>
        <w:spacing w:before="0" w:after="30" w:line="240" w:lineRule="auto"/>
        <w:ind w:left="340" w:hanging="340"/>
        <w:jc w:val="both"/>
      </w:pPr>
      <w:bookmarkStart w:id="20" w:name="ref_nikolic2018"/>
      <w:r>
        <w:rPr>
          <w:rFonts w:ascii="Times New Roman" w:hAnsi="Times New Roman" w:cs="Times New Roman"/>
          <w:sz w:val="16"/>
          <w:szCs w:val="16"/>
        </w:rPr>
        <w:t xml:space="preserve">[20]	</w:t>
      </w:r>
      <w:r>
        <w:rPr>
          <w:rFonts w:ascii="Times New Roman" w:hAnsi="Times New Roman" w:cs="Times New Roman"/>
          <w:sz w:val="16"/>
          <w:szCs w:val="16"/>
        </w:rPr>
        <w:t xml:space="preserve">I. Nikolić, A. Kolluri, I. Sergey, P. Saxena, and A. Hobor, “Finding the greedy, prodigal, and suicidal contracts at scale,” in </w:t>
      </w:r>
      <w:r>
        <w:rPr>
          <w:rFonts w:ascii="Times New Roman" w:hAnsi="Times New Roman" w:cs="Times New Roman"/>
          <w:i/>
          <w:sz w:val="16"/>
          <w:szCs w:val="16"/>
        </w:rPr>
        <w:t xml:space="preserve">Proc. Annual Computer Security Applications Conf. (ACSAC)</w:t>
      </w:r>
      <w:r>
        <w:rPr>
          <w:rFonts w:ascii="Times New Roman" w:hAnsi="Times New Roman" w:cs="Times New Roman"/>
          <w:sz w:val="16"/>
          <w:szCs w:val="16"/>
        </w:rPr>
        <w:t xml:space="preserve">, 2018, pp. 653–663</w:t>
      </w:r>
      <w:r>
        <w:rPr>
          <w:rFonts w:ascii="Times New Roman" w:hAnsi="Times New Roman" w:cs="Times New Roman"/>
          <w:sz w:val="16"/>
          <w:szCs w:val="16"/>
        </w:rPr>
        <w:t xml:space="preserve">, doi: </w:t>
      </w:r>
      <w:hyperlink r:id="rIdLink20" w:history="1">
        <w:r>
          <w:rPr>
            <w:rFonts w:ascii="Times New Roman" w:hAnsi="Times New Roman" w:cs="Times New Roman"/>
            <w:color w:val="1F4FB5"/>
            <w:sz w:val="16"/>
            <w:szCs w:val="16"/>
          </w:rPr>
          <w:t xml:space="preserve">10.1145/3274694.3274743</w:t>
        </w:r>
      </w:hyperlink>
      <w:r>
        <w:rPr>
          <w:rFonts w:ascii="Times New Roman" w:hAnsi="Times New Roman" w:cs="Times New Roman"/>
          <w:sz w:val="16"/>
          <w:szCs w:val="16"/>
        </w:rPr>
        <w:t xml:space="preserve">.</w:t>
      </w:r>
      <w:bookmarkEnd w:id="20"/>
    </w:p>
    <w:p>
      <w:pPr>
        <w:widowControl/>
        <w:spacing w:before="0" w:after="30" w:line="240" w:lineRule="auto"/>
        <w:ind w:left="340" w:hanging="340"/>
        <w:jc w:val="both"/>
      </w:pPr>
      <w:bookmarkStart w:id="21" w:name="ref_so2020"/>
      <w:r>
        <w:rPr>
          <w:rFonts w:ascii="Times New Roman" w:hAnsi="Times New Roman" w:cs="Times New Roman"/>
          <w:sz w:val="16"/>
          <w:szCs w:val="16"/>
        </w:rPr>
        <w:t xml:space="preserve">[21]	</w:t>
      </w:r>
      <w:r>
        <w:rPr>
          <w:rFonts w:ascii="Times New Roman" w:hAnsi="Times New Roman" w:cs="Times New Roman"/>
          <w:sz w:val="16"/>
          <w:szCs w:val="16"/>
        </w:rPr>
        <w:t xml:space="preserve">S. So, M. Lee, J. Park, H. Lee, and H. Oh, “VeriSmart: A highly precise safety verifier for Ethereum smart contracts,” in </w:t>
      </w:r>
      <w:r>
        <w:rPr>
          <w:rFonts w:ascii="Times New Roman" w:hAnsi="Times New Roman" w:cs="Times New Roman"/>
          <w:i/>
          <w:sz w:val="16"/>
          <w:szCs w:val="16"/>
        </w:rPr>
        <w:t xml:space="preserve">Proc. IEEE Symp. Security and Privacy (S&amp;P)</w:t>
      </w:r>
      <w:r>
        <w:rPr>
          <w:rFonts w:ascii="Times New Roman" w:hAnsi="Times New Roman" w:cs="Times New Roman"/>
          <w:sz w:val="16"/>
          <w:szCs w:val="16"/>
        </w:rPr>
        <w:t xml:space="preserve">, 2020, pp. 1678–1694</w:t>
      </w:r>
      <w:r>
        <w:rPr>
          <w:rFonts w:ascii="Times New Roman" w:hAnsi="Times New Roman" w:cs="Times New Roman"/>
          <w:sz w:val="16"/>
          <w:szCs w:val="16"/>
        </w:rPr>
        <w:t xml:space="preserve">, doi: </w:t>
      </w:r>
      <w:hyperlink r:id="rIdLink21" w:history="1">
        <w:r>
          <w:rPr>
            <w:rFonts w:ascii="Times New Roman" w:hAnsi="Times New Roman" w:cs="Times New Roman"/>
            <w:color w:val="1F4FB5"/>
            <w:sz w:val="16"/>
            <w:szCs w:val="16"/>
          </w:rPr>
          <w:t xml:space="preserve">10.1109/SP40000.2020.00032</w:t>
        </w:r>
      </w:hyperlink>
      <w:r>
        <w:rPr>
          <w:rFonts w:ascii="Times New Roman" w:hAnsi="Times New Roman" w:cs="Times New Roman"/>
          <w:sz w:val="16"/>
          <w:szCs w:val="16"/>
        </w:rPr>
        <w:t xml:space="preserve">.</w:t>
      </w:r>
      <w:bookmarkEnd w:id="21"/>
    </w:p>
    <w:p>
      <w:pPr>
        <w:widowControl/>
        <w:spacing w:before="0" w:after="30" w:line="240" w:lineRule="auto"/>
        <w:ind w:left="340" w:hanging="340"/>
        <w:jc w:val="both"/>
      </w:pPr>
      <w:bookmarkStart w:id="22" w:name="ref_li2018vuldeepecker"/>
      <w:r>
        <w:rPr>
          <w:rFonts w:ascii="Times New Roman" w:hAnsi="Times New Roman" w:cs="Times New Roman"/>
          <w:sz w:val="16"/>
          <w:szCs w:val="16"/>
        </w:rPr>
        <w:t xml:space="preserve">[22]	</w:t>
      </w:r>
      <w:r>
        <w:rPr>
          <w:rFonts w:ascii="Times New Roman" w:hAnsi="Times New Roman" w:cs="Times New Roman"/>
          <w:sz w:val="16"/>
          <w:szCs w:val="16"/>
        </w:rPr>
        <w:t xml:space="preserve">Z. Li, D. Zou, S. Xu, X. Ou, H. Jin, S. Wang, Z. Deng, and Y. Zhong, “VulDeePecker: A deep learning-based system for vulnerability detection,” in </w:t>
      </w:r>
      <w:r>
        <w:rPr>
          <w:rFonts w:ascii="Times New Roman" w:hAnsi="Times New Roman" w:cs="Times New Roman"/>
          <w:i/>
          <w:sz w:val="16"/>
          <w:szCs w:val="16"/>
        </w:rPr>
        <w:t xml:space="preserve">Proc. Network and Distributed System Security Symp. (NDSS)</w:t>
      </w:r>
      <w:r>
        <w:rPr>
          <w:rFonts w:ascii="Times New Roman" w:hAnsi="Times New Roman" w:cs="Times New Roman"/>
          <w:sz w:val="16"/>
          <w:szCs w:val="16"/>
        </w:rPr>
        <w:t xml:space="preserve">, 2018</w:t>
      </w:r>
      <w:r>
        <w:rPr>
          <w:rFonts w:ascii="Times New Roman" w:hAnsi="Times New Roman" w:cs="Times New Roman"/>
          <w:sz w:val="16"/>
          <w:szCs w:val="16"/>
        </w:rPr>
        <w:t xml:space="preserve">, doi: </w:t>
      </w:r>
      <w:hyperlink r:id="rIdLink22" w:history="1">
        <w:r>
          <w:rPr>
            <w:rFonts w:ascii="Times New Roman" w:hAnsi="Times New Roman" w:cs="Times New Roman"/>
            <w:color w:val="1F4FB5"/>
            <w:sz w:val="16"/>
            <w:szCs w:val="16"/>
          </w:rPr>
          <w:t xml:space="preserve">10.14722/ndss.2018.23158</w:t>
        </w:r>
      </w:hyperlink>
      <w:r>
        <w:rPr>
          <w:rFonts w:ascii="Times New Roman" w:hAnsi="Times New Roman" w:cs="Times New Roman"/>
          <w:sz w:val="16"/>
          <w:szCs w:val="16"/>
        </w:rPr>
        <w:t xml:space="preserve">.</w:t>
      </w:r>
      <w:bookmarkEnd w:id="22"/>
    </w:p>
    <w:p>
      <w:pPr>
        <w:widowControl/>
        <w:spacing w:before="0" w:after="30" w:line="240" w:lineRule="auto"/>
        <w:ind w:left="340" w:hanging="340"/>
        <w:jc w:val="both"/>
      </w:pPr>
      <w:bookmarkStart w:id="23" w:name="ref_li2022sysevr"/>
      <w:r>
        <w:rPr>
          <w:rFonts w:ascii="Times New Roman" w:hAnsi="Times New Roman" w:cs="Times New Roman"/>
          <w:sz w:val="16"/>
          <w:szCs w:val="16"/>
        </w:rPr>
        <w:t xml:space="preserve">[23]	</w:t>
      </w:r>
      <w:r>
        <w:rPr>
          <w:rFonts w:ascii="Times New Roman" w:hAnsi="Times New Roman" w:cs="Times New Roman"/>
          <w:sz w:val="16"/>
          <w:szCs w:val="16"/>
        </w:rPr>
        <w:t xml:space="preserve">Z. Li, D. Zou, S. Xu, H. Jin, Y. Zhu, and Z. Chen, “SySeVR: A framework for using deep learning to detect software vulnerabilities,” </w:t>
      </w:r>
      <w:r>
        <w:rPr>
          <w:rFonts w:ascii="Times New Roman" w:hAnsi="Times New Roman" w:cs="Times New Roman"/>
          <w:i/>
          <w:sz w:val="16"/>
          <w:szCs w:val="16"/>
        </w:rPr>
        <w:t xml:space="preserve">IEEE Trans. Dependable and Secure Computing</w:t>
      </w:r>
      <w:r>
        <w:rPr>
          <w:rFonts w:ascii="Times New Roman" w:hAnsi="Times New Roman" w:cs="Times New Roman"/>
          <w:sz w:val="16"/>
          <w:szCs w:val="16"/>
        </w:rPr>
        <w:t xml:space="preserve">, vol. 19, no. 4, pp. 2244–2258, 2022</w:t>
      </w:r>
      <w:r>
        <w:rPr>
          <w:rFonts w:ascii="Times New Roman" w:hAnsi="Times New Roman" w:cs="Times New Roman"/>
          <w:sz w:val="16"/>
          <w:szCs w:val="16"/>
        </w:rPr>
        <w:t xml:space="preserve">, doi: </w:t>
      </w:r>
      <w:hyperlink r:id="rIdLink23" w:history="1">
        <w:r>
          <w:rPr>
            <w:rFonts w:ascii="Times New Roman" w:hAnsi="Times New Roman" w:cs="Times New Roman"/>
            <w:color w:val="1F4FB5"/>
            <w:sz w:val="16"/>
            <w:szCs w:val="16"/>
          </w:rPr>
          <w:t xml:space="preserve">10.1109/TDSC.2021.3051525</w:t>
        </w:r>
      </w:hyperlink>
      <w:r>
        <w:rPr>
          <w:rFonts w:ascii="Times New Roman" w:hAnsi="Times New Roman" w:cs="Times New Roman"/>
          <w:sz w:val="16"/>
          <w:szCs w:val="16"/>
        </w:rPr>
        <w:t xml:space="preserve">.</w:t>
      </w:r>
      <w:bookmarkEnd w:id="23"/>
    </w:p>
    <w:p>
      <w:pPr>
        <w:widowControl/>
        <w:spacing w:before="0" w:after="30" w:line="240" w:lineRule="auto"/>
        <w:ind w:left="340" w:hanging="340"/>
        <w:jc w:val="both"/>
      </w:pPr>
      <w:bookmarkStart w:id="24" w:name="ref_wei2024smartaudit"/>
      <w:r>
        <w:rPr>
          <w:rFonts w:ascii="Times New Roman" w:hAnsi="Times New Roman" w:cs="Times New Roman"/>
          <w:sz w:val="16"/>
          <w:szCs w:val="16"/>
        </w:rPr>
        <w:t xml:space="preserve">[24]	</w:t>
      </w:r>
      <w:r>
        <w:rPr>
          <w:rFonts w:ascii="Times New Roman" w:hAnsi="Times New Roman" w:cs="Times New Roman"/>
          <w:sz w:val="16"/>
          <w:szCs w:val="16"/>
        </w:rPr>
        <w:t xml:space="preserve">Z. Wei, J. Sun, Z. Zhang, X. Zhang, X. Yang, and L. Zhu, “LLM-SmartAudit: Advanced smart contract vulnerability detection,” 2024</w:t>
      </w:r>
      <w:r>
        <w:rPr>
          <w:rFonts w:ascii="Times New Roman" w:hAnsi="Times New Roman" w:cs="Times New Roman"/>
          <w:sz w:val="16"/>
          <w:szCs w:val="16"/>
        </w:rPr>
        <w:t xml:space="preserve">, </w:t>
      </w:r>
      <w:hyperlink r:id="rIdLink24" w:history="1">
        <w:r>
          <w:rPr>
            <w:rFonts w:ascii="Times New Roman" w:hAnsi="Times New Roman" w:cs="Times New Roman"/>
            <w:color w:val="1F4FB5"/>
            <w:sz w:val="16"/>
            <w:szCs w:val="16"/>
          </w:rPr>
          <w:t xml:space="preserve">arXiv:2410.09381</w:t>
        </w:r>
      </w:hyperlink>
      <w:r>
        <w:rPr>
          <w:rFonts w:ascii="Times New Roman" w:hAnsi="Times New Roman" w:cs="Times New Roman"/>
          <w:sz w:val="16"/>
          <w:szCs w:val="16"/>
        </w:rPr>
        <w:t xml:space="preserve">.</w:t>
      </w:r>
      <w:bookmarkEnd w:id="24"/>
    </w:p>
    <w:p>
      <w:pPr>
        <w:widowControl/>
        <w:spacing w:before="0" w:after="30" w:line="240" w:lineRule="auto"/>
        <w:ind w:left="340" w:hanging="340"/>
        <w:jc w:val="both"/>
      </w:pPr>
      <w:bookmarkStart w:id="25" w:name="ref_sun2024llm4vuln"/>
      <w:r>
        <w:rPr>
          <w:rFonts w:ascii="Times New Roman" w:hAnsi="Times New Roman" w:cs="Times New Roman"/>
          <w:sz w:val="16"/>
          <w:szCs w:val="16"/>
        </w:rPr>
        <w:t xml:space="preserve">[25]	</w:t>
      </w:r>
      <w:r>
        <w:rPr>
          <w:rFonts w:ascii="Times New Roman" w:hAnsi="Times New Roman" w:cs="Times New Roman"/>
          <w:sz w:val="16"/>
          <w:szCs w:val="16"/>
        </w:rPr>
        <w:t xml:space="preserve">Y. Sun, D. Wu, Y. Xue, H. Liu, W. Ma, L. Zhang, M. Shi, and Y. Liu, “LLM4Vuln: A unified evaluation framework for decoupling and enhancing LLMs’ vulnerability reasoning,” 2024</w:t>
      </w:r>
      <w:r>
        <w:rPr>
          <w:rFonts w:ascii="Times New Roman" w:hAnsi="Times New Roman" w:cs="Times New Roman"/>
          <w:sz w:val="16"/>
          <w:szCs w:val="16"/>
        </w:rPr>
        <w:t xml:space="preserve">, </w:t>
      </w:r>
      <w:hyperlink r:id="rIdLink25" w:history="1">
        <w:r>
          <w:rPr>
            <w:rFonts w:ascii="Times New Roman" w:hAnsi="Times New Roman" w:cs="Times New Roman"/>
            <w:color w:val="1F4FB5"/>
            <w:sz w:val="16"/>
            <w:szCs w:val="16"/>
          </w:rPr>
          <w:t xml:space="preserve">arXiv:2401.16185</w:t>
        </w:r>
      </w:hyperlink>
      <w:r>
        <w:rPr>
          <w:rFonts w:ascii="Times New Roman" w:hAnsi="Times New Roman" w:cs="Times New Roman"/>
          <w:sz w:val="16"/>
          <w:szCs w:val="16"/>
        </w:rPr>
        <w:t xml:space="preserve">.</w:t>
      </w:r>
      <w:bookmarkEnd w:id="25"/>
    </w:p>
    <w:p>
      <w:pPr>
        <w:widowControl/>
        <w:spacing w:before="0" w:after="30" w:line="240" w:lineRule="auto"/>
        <w:ind w:left="340" w:hanging="340"/>
        <w:jc w:val="both"/>
      </w:pPr>
      <w:bookmarkStart w:id="26" w:name="ref_jiang2024longllmlingua"/>
      <w:r>
        <w:rPr>
          <w:rFonts w:ascii="Times New Roman" w:hAnsi="Times New Roman" w:cs="Times New Roman"/>
          <w:sz w:val="16"/>
          <w:szCs w:val="16"/>
        </w:rPr>
        <w:t xml:space="preserve">[26]	</w:t>
      </w:r>
      <w:r>
        <w:rPr>
          <w:rFonts w:ascii="Times New Roman" w:hAnsi="Times New Roman" w:cs="Times New Roman"/>
          <w:sz w:val="16"/>
          <w:szCs w:val="16"/>
        </w:rPr>
        <w:t xml:space="preserve">H. Jiang, Q. Wu, X. Luo, D. Li, C.-Y. Lin, Y. Yang, and L. Qiu, “LongLLMLingua: Accelerating and enhancing LLMs in long context scenarios via prompt compression,” in </w:t>
      </w:r>
      <w:r>
        <w:rPr>
          <w:rFonts w:ascii="Times New Roman" w:hAnsi="Times New Roman" w:cs="Times New Roman"/>
          <w:i/>
          <w:sz w:val="16"/>
          <w:szCs w:val="16"/>
        </w:rPr>
        <w:t xml:space="preserve">Proc. Annual Meeting of the Association for Computational Linguistics (ACL)</w:t>
      </w:r>
      <w:r>
        <w:rPr>
          <w:rFonts w:ascii="Times New Roman" w:hAnsi="Times New Roman" w:cs="Times New Roman"/>
          <w:sz w:val="16"/>
          <w:szCs w:val="16"/>
        </w:rPr>
        <w:t xml:space="preserve">, 2024, pp. 1658–1677</w:t>
      </w:r>
      <w:r>
        <w:rPr>
          <w:rFonts w:ascii="Times New Roman" w:hAnsi="Times New Roman" w:cs="Times New Roman"/>
          <w:sz w:val="16"/>
          <w:szCs w:val="16"/>
        </w:rPr>
        <w:t xml:space="preserve">, doi: </w:t>
      </w:r>
      <w:hyperlink r:id="rIdLink26" w:history="1">
        <w:r>
          <w:rPr>
            <w:rFonts w:ascii="Times New Roman" w:hAnsi="Times New Roman" w:cs="Times New Roman"/>
            <w:color w:val="1F4FB5"/>
            <w:sz w:val="16"/>
            <w:szCs w:val="16"/>
          </w:rPr>
          <w:t xml:space="preserve">10.18653/v1/2024.acl-long.91</w:t>
        </w:r>
      </w:hyperlink>
      <w:r>
        <w:rPr>
          <w:rFonts w:ascii="Times New Roman" w:hAnsi="Times New Roman" w:cs="Times New Roman"/>
          <w:sz w:val="16"/>
          <w:szCs w:val="16"/>
        </w:rPr>
        <w:t xml:space="preserve">.</w:t>
      </w:r>
      <w:bookmarkEnd w:id="26"/>
    </w:p>
    <w:p>
      <w:pPr>
        <w:widowControl/>
        <w:spacing w:before="0" w:after="30" w:line="240" w:lineRule="auto"/>
        <w:ind w:left="340" w:hanging="340"/>
        <w:jc w:val="both"/>
      </w:pPr>
      <w:bookmarkStart w:id="27" w:name="ref_lewis2020rag"/>
      <w:r>
        <w:rPr>
          <w:rFonts w:ascii="Times New Roman" w:hAnsi="Times New Roman" w:cs="Times New Roman"/>
          <w:sz w:val="16"/>
          <w:szCs w:val="16"/>
        </w:rPr>
        <w:t xml:space="preserve">[27]	</w:t>
      </w:r>
      <w:r>
        <w:rPr>
          <w:rFonts w:ascii="Times New Roman" w:hAnsi="Times New Roman" w:cs="Times New Roman"/>
          <w:sz w:val="16"/>
          <w:szCs w:val="16"/>
        </w:rPr>
        <w:t xml:space="preserve">P. Lewis et al., “Retrieval-augmented generation for knowledge-intensive NLP tasks,” in </w:t>
      </w:r>
      <w:r>
        <w:rPr>
          <w:rFonts w:ascii="Times New Roman" w:hAnsi="Times New Roman" w:cs="Times New Roman"/>
          <w:i/>
          <w:sz w:val="16"/>
          <w:szCs w:val="16"/>
        </w:rPr>
        <w:t xml:space="preserve">Proc. Advances in Neural Information Processing Systems (NeurIPS)</w:t>
      </w:r>
      <w:r>
        <w:rPr>
          <w:rFonts w:ascii="Times New Roman" w:hAnsi="Times New Roman" w:cs="Times New Roman"/>
          <w:sz w:val="16"/>
          <w:szCs w:val="16"/>
        </w:rPr>
        <w:t xml:space="preserve">, 2020, pp. 9459–9474</w:t>
      </w:r>
      <w:r>
        <w:rPr>
          <w:rFonts w:ascii="Times New Roman" w:hAnsi="Times New Roman" w:cs="Times New Roman"/>
          <w:sz w:val="16"/>
          <w:szCs w:val="16"/>
        </w:rPr>
        <w:t xml:space="preserve">, </w:t>
      </w:r>
      <w:hyperlink r:id="rIdLink27" w:history="1">
        <w:r>
          <w:rPr>
            <w:rFonts w:ascii="Times New Roman" w:hAnsi="Times New Roman" w:cs="Times New Roman"/>
            <w:color w:val="1F4FB5"/>
            <w:sz w:val="16"/>
            <w:szCs w:val="16"/>
          </w:rPr>
          <w:t xml:space="preserve">arXiv:2005.11401</w:t>
        </w:r>
      </w:hyperlink>
      <w:r>
        <w:rPr>
          <w:rFonts w:ascii="Times New Roman" w:hAnsi="Times New Roman" w:cs="Times New Roman"/>
          <w:sz w:val="16"/>
          <w:szCs w:val="16"/>
        </w:rPr>
        <w:t xml:space="preserve">.</w:t>
      </w:r>
      <w:bookmarkEnd w:id="27"/>
    </w:p>
    <w:p>
      <w:pPr>
        <w:widowControl/>
        <w:spacing w:before="0" w:after="30" w:line="240" w:lineRule="auto"/>
        <w:ind w:left="340" w:hanging="340"/>
        <w:jc w:val="both"/>
      </w:pPr>
      <w:bookmarkStart w:id="28" w:name="ref_sridharan2007"/>
      <w:r>
        <w:rPr>
          <w:rFonts w:ascii="Times New Roman" w:hAnsi="Times New Roman" w:cs="Times New Roman"/>
          <w:sz w:val="16"/>
          <w:szCs w:val="16"/>
        </w:rPr>
        <w:t xml:space="preserve">[28]	</w:t>
      </w:r>
      <w:r>
        <w:rPr>
          <w:rFonts w:ascii="Times New Roman" w:hAnsi="Times New Roman" w:cs="Times New Roman"/>
          <w:sz w:val="16"/>
          <w:szCs w:val="16"/>
        </w:rPr>
        <w:t xml:space="preserve">M. Sridharan, S. J. Fink, and R. Bodík, “Thin slicing,” in </w:t>
      </w:r>
      <w:r>
        <w:rPr>
          <w:rFonts w:ascii="Times New Roman" w:hAnsi="Times New Roman" w:cs="Times New Roman"/>
          <w:i/>
          <w:sz w:val="16"/>
          <w:szCs w:val="16"/>
        </w:rPr>
        <w:t xml:space="preserve">Proc. ACM SIGPLAN Conf. Programming Language Design and Implementation (PLDI)</w:t>
      </w:r>
      <w:r>
        <w:rPr>
          <w:rFonts w:ascii="Times New Roman" w:hAnsi="Times New Roman" w:cs="Times New Roman"/>
          <w:sz w:val="16"/>
          <w:szCs w:val="16"/>
        </w:rPr>
        <w:t xml:space="preserve">, 2007, pp. 112–122</w:t>
      </w:r>
      <w:r>
        <w:rPr>
          <w:rFonts w:ascii="Times New Roman" w:hAnsi="Times New Roman" w:cs="Times New Roman"/>
          <w:sz w:val="16"/>
          <w:szCs w:val="16"/>
        </w:rPr>
        <w:t xml:space="preserve">, doi: </w:t>
      </w:r>
      <w:hyperlink r:id="rIdLink28" w:history="1">
        <w:r>
          <w:rPr>
            <w:rFonts w:ascii="Times New Roman" w:hAnsi="Times New Roman" w:cs="Times New Roman"/>
            <w:color w:val="1F4FB5"/>
            <w:sz w:val="16"/>
            <w:szCs w:val="16"/>
          </w:rPr>
          <w:t xml:space="preserve">10.1145/1250734.1250748</w:t>
        </w:r>
      </w:hyperlink>
      <w:r>
        <w:rPr>
          <w:rFonts w:ascii="Times New Roman" w:hAnsi="Times New Roman" w:cs="Times New Roman"/>
          <w:sz w:val="16"/>
          <w:szCs w:val="16"/>
        </w:rPr>
        <w:t xml:space="preserve">.</w:t>
      </w:r>
      <w:bookmarkEnd w:id="28"/>
    </w:p>
    <w:p>
      <w:pPr>
        <w:widowControl/>
        <w:spacing w:before="0" w:after="30" w:line="240" w:lineRule="auto"/>
        <w:ind w:left="340" w:hanging="340"/>
        <w:jc w:val="both"/>
      </w:pPr>
      <w:bookmarkStart w:id="29" w:name="ref_yashavant2022"/>
      <w:r>
        <w:rPr>
          <w:rFonts w:ascii="Times New Roman" w:hAnsi="Times New Roman" w:cs="Times New Roman"/>
          <w:sz w:val="16"/>
          <w:szCs w:val="16"/>
        </w:rPr>
        <w:t xml:space="preserve">[29]	</w:t>
      </w:r>
      <w:r>
        <w:rPr>
          <w:rFonts w:ascii="Times New Roman" w:hAnsi="Times New Roman" w:cs="Times New Roman"/>
          <w:sz w:val="16"/>
          <w:szCs w:val="16"/>
        </w:rPr>
        <w:t xml:space="preserve">C. S. Yashavant, S. Kumar, and A. Karkare, “ScrawlD: A dataset of real world Ethereum smart contracts labelled with vulnerabilities,” 2022</w:t>
      </w:r>
      <w:r>
        <w:rPr>
          <w:rFonts w:ascii="Times New Roman" w:hAnsi="Times New Roman" w:cs="Times New Roman"/>
          <w:sz w:val="16"/>
          <w:szCs w:val="16"/>
        </w:rPr>
        <w:t xml:space="preserve">, </w:t>
      </w:r>
      <w:hyperlink r:id="rIdLink29" w:history="1">
        <w:r>
          <w:rPr>
            <w:rFonts w:ascii="Times New Roman" w:hAnsi="Times New Roman" w:cs="Times New Roman"/>
            <w:color w:val="1F4FB5"/>
            <w:sz w:val="16"/>
            <w:szCs w:val="16"/>
          </w:rPr>
          <w:t xml:space="preserve">arXiv:2202.11409</w:t>
        </w:r>
      </w:hyperlink>
      <w:r>
        <w:rPr>
          <w:rFonts w:ascii="Times New Roman" w:hAnsi="Times New Roman" w:cs="Times New Roman"/>
          <w:sz w:val="16"/>
          <w:szCs w:val="16"/>
        </w:rPr>
        <w:t xml:space="preserve">.</w:t>
      </w:r>
      <w:bookmarkEnd w:id="29"/>
    </w:p>
    <w:p>
      <w:pPr>
        <w:widowControl/>
        <w:spacing w:before="0" w:after="30" w:line="240" w:lineRule="auto"/>
        <w:ind w:left="340" w:hanging="340"/>
        <w:jc w:val="both"/>
      </w:pPr>
      <w:bookmarkStart w:id="30" w:name="ref_zheng2024dappscan"/>
      <w:r>
        <w:rPr>
          <w:rFonts w:ascii="Times New Roman" w:hAnsi="Times New Roman" w:cs="Times New Roman"/>
          <w:sz w:val="16"/>
          <w:szCs w:val="16"/>
        </w:rPr>
        <w:t xml:space="preserve">[30]	</w:t>
      </w:r>
      <w:r>
        <w:rPr>
          <w:rFonts w:ascii="Times New Roman" w:hAnsi="Times New Roman" w:cs="Times New Roman"/>
          <w:sz w:val="16"/>
          <w:szCs w:val="16"/>
        </w:rPr>
        <w:t xml:space="preserve">Z. Zheng, J. Su, J. Chen, D. Lo, Z. Zhong, and M. Ye, “DAppSCAN: Building large-scale datasets for smart contract weaknesses in DApp projects,” </w:t>
      </w:r>
      <w:r>
        <w:rPr>
          <w:rFonts w:ascii="Times New Roman" w:hAnsi="Times New Roman" w:cs="Times New Roman"/>
          <w:i/>
          <w:sz w:val="16"/>
          <w:szCs w:val="16"/>
        </w:rPr>
        <w:t xml:space="preserve">IEEE Trans. Software Engineering</w:t>
      </w:r>
      <w:r>
        <w:rPr>
          <w:rFonts w:ascii="Times New Roman" w:hAnsi="Times New Roman" w:cs="Times New Roman"/>
          <w:sz w:val="16"/>
          <w:szCs w:val="16"/>
        </w:rPr>
        <w:t xml:space="preserve">, vol. 50, no. 6, pp. 1360–1373, 2024</w:t>
      </w:r>
      <w:r>
        <w:rPr>
          <w:rFonts w:ascii="Times New Roman" w:hAnsi="Times New Roman" w:cs="Times New Roman"/>
          <w:sz w:val="16"/>
          <w:szCs w:val="16"/>
        </w:rPr>
        <w:t xml:space="preserve">, doi: </w:t>
      </w:r>
      <w:hyperlink r:id="rIdLink30" w:history="1">
        <w:r>
          <w:rPr>
            <w:rFonts w:ascii="Times New Roman" w:hAnsi="Times New Roman" w:cs="Times New Roman"/>
            <w:color w:val="1F4FB5"/>
            <w:sz w:val="16"/>
            <w:szCs w:val="16"/>
          </w:rPr>
          <w:t xml:space="preserve">10.1109/TSE.2024.3383422</w:t>
        </w:r>
      </w:hyperlink>
      <w:r>
        <w:rPr>
          <w:rFonts w:ascii="Times New Roman" w:hAnsi="Times New Roman" w:cs="Times New Roman"/>
          <w:sz w:val="16"/>
          <w:szCs w:val="16"/>
        </w:rPr>
        <w:t xml:space="preserve">.</w:t>
      </w:r>
      <w:bookmarkEnd w:id="30"/>
    </w:p>
    <w:p>
      <w:pPr>
        <w:widowControl/>
        <w:spacing w:before="0" w:after="30" w:line="240" w:lineRule="auto"/>
        <w:ind w:left="340" w:hanging="340"/>
        <w:jc w:val="both"/>
      </w:pPr>
      <w:bookmarkStart w:id="31" w:name="ref_anchorslice_repo"/>
      <w:r>
        <w:rPr>
          <w:rFonts w:ascii="Times New Roman" w:hAnsi="Times New Roman" w:cs="Times New Roman"/>
          <w:sz w:val="16"/>
          <w:szCs w:val="16"/>
        </w:rPr>
        <w:t xml:space="preserve">[31]	</w:t>
      </w:r>
      <w:r>
        <w:rPr>
          <w:rFonts w:ascii="Times New Roman" w:hAnsi="Times New Roman" w:cs="Times New Roman"/>
          <w:sz w:val="16"/>
          <w:szCs w:val="16"/>
        </w:rPr>
        <w:t xml:space="preserve">S. Aghanasiri, S. Zaker, and A. Shameli-Sendi, “AnchorSlice: Code, data and results,” 2026</w:t>
      </w:r>
      <w:r>
        <w:rPr>
          <w:rFonts w:ascii="Times New Roman" w:hAnsi="Times New Roman" w:cs="Times New Roman"/>
          <w:sz w:val="16"/>
          <w:szCs w:val="16"/>
        </w:rPr>
        <w:t xml:space="preserve">. [Online]. Available: </w:t>
      </w:r>
      <w:hyperlink r:id="rIdLink31" w:history="1">
        <w:r>
          <w:rPr>
            <w:rFonts w:ascii="Times New Roman" w:hAnsi="Times New Roman" w:cs="Times New Roman"/>
            <w:color w:val="1F4FB5"/>
            <w:sz w:val="16"/>
            <w:szCs w:val="16"/>
          </w:rPr>
          <w:t xml:space="preserve">https://github.com/sjag77/AnchorSlice</w:t>
        </w:r>
      </w:hyperlink>
      <w:bookmarkEnd w:id="31"/>
    </w:p>
    <w:sectPr>
      <w:type w:val="continuous"/>
      <w:pgSz w:w="11906" w:h="16838"/>
      <w:pgMar w:top="1077" w:right="1021" w:bottom="1418" w:left="1021" w:header="720" w:footer="720" w:gutter="0"/>
      <w:cols w:num="2" w:space="397" w:equalWidth="1"/>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300" w:hanging="200"/>
      </w:pPr>
      <w:rPr>
        <w:rFonts w:ascii="Times New Roman" w:hAnsi="Times New Roman"/>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0"/>
      </w:rPr>
    </w:rPrDefault>
    <w:pPrDefault>
      <w:pPr>
        <w:spacing w:after="0" w:line="240"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Link1" Type="http://schemas.openxmlformats.org/officeDocument/2006/relationships/hyperlink" Target="https://doi.org/10.5210/fm.v2i9.548" TargetMode="External"/><Relationship Id="rIdLink2" Type="http://schemas.openxmlformats.org/officeDocument/2006/relationships/hyperlink" Target="https://doi.org/10.1145/2976749.2978309" TargetMode="External"/><Relationship Id="rIdLink3" Type="http://schemas.openxmlformats.org/officeDocument/2006/relationships/hyperlink" Target="https://dasp.co" TargetMode="External"/><Relationship Id="rIdLink4" Type="http://schemas.openxmlformats.org/officeDocument/2006/relationships/hyperlink" Target="https://doi.org/10.1145/3377811.3380364" TargetMode="External"/><Relationship Id="rIdLink5" Type="http://schemas.openxmlformats.org/officeDocument/2006/relationships/hyperlink" Target="https://doi.org/10.1145/3395363.3397385" TargetMode="External"/><Relationship Id="rIdLink6" Type="http://schemas.openxmlformats.org/officeDocument/2006/relationships/hyperlink" Target="https://doi.org/10.1109/WETSEB.2019.00008" TargetMode="External"/><Relationship Id="rIdLink7" Type="http://schemas.openxmlformats.org/officeDocument/2006/relationships/hyperlink" Target="https://doi.org/10.24963/ijcai.2020/454" TargetMode="External"/><Relationship Id="rIdLink8" Type="http://schemas.openxmlformats.org/officeDocument/2006/relationships/hyperlink" Target="https://doi.org/10.1145/3597503.3639117" TargetMode="External"/><Relationship Id="rIdLink9" Type="http://schemas.openxmlformats.org/officeDocument/2006/relationships/hyperlink" Target="https://doi.org/10.1109/TPS-ISA58951.2023.00044" TargetMode="External"/><Relationship Id="rIdLink10" Type="http://schemas.openxmlformats.org/officeDocument/2006/relationships/hyperlink" Target="https://arxiv.org/abs/2403.16073" TargetMode="External"/><Relationship Id="rIdLink11" Type="http://schemas.openxmlformats.org/officeDocument/2006/relationships/hyperlink" Target="https://arxiv.org/abs/2403.14280" TargetMode="External"/><Relationship Id="rIdLink12" Type="http://schemas.openxmlformats.org/officeDocument/2006/relationships/hyperlink" Target="https://doi.org/10.1162/tacl_a_00638" TargetMode="External"/><Relationship Id="rIdLink13" Type="http://schemas.openxmlformats.org/officeDocument/2006/relationships/hyperlink" Target="https://doi.org/10.18653/v1/2023.emnlp-main.825" TargetMode="External"/><Relationship Id="rIdLink14" Type="http://schemas.openxmlformats.org/officeDocument/2006/relationships/hyperlink" Target="https://dl.acm.org/doi/10.5555/800078.802557" TargetMode="External"/><Relationship Id="rIdLink15" Type="http://schemas.openxmlformats.org/officeDocument/2006/relationships/hyperlink" Target="https://github.com/sjag77/LineGuard" TargetMode="External"/><Relationship Id="rIdLink16" Type="http://schemas.openxmlformats.org/officeDocument/2006/relationships/hyperlink" Target="https://doi.org/10.5281/zenodo.18519253" TargetMode="External"/><Relationship Id="rIdLink17" Type="http://schemas.openxmlformats.org/officeDocument/2006/relationships/hyperlink" Target="https://doi.org/10.1145/3243734.3243780" TargetMode="External"/><Relationship Id="rIdLink18" Type="http://schemas.openxmlformats.org/officeDocument/2006/relationships/hyperlink" Target="https://doi.org/10.1145/3194113.3194115" TargetMode="External"/><Relationship Id="rIdLink19" Type="http://schemas.openxmlformats.org/officeDocument/2006/relationships/hyperlink" Target="https://github.com/ConsenSys/mythril" TargetMode="External"/><Relationship Id="rIdLink20" Type="http://schemas.openxmlformats.org/officeDocument/2006/relationships/hyperlink" Target="https://doi.org/10.1145/3274694.3274743" TargetMode="External"/><Relationship Id="rIdLink21" Type="http://schemas.openxmlformats.org/officeDocument/2006/relationships/hyperlink" Target="https://doi.org/10.1109/SP40000.2020.00032" TargetMode="External"/><Relationship Id="rIdLink22" Type="http://schemas.openxmlformats.org/officeDocument/2006/relationships/hyperlink" Target="https://doi.org/10.14722/ndss.2018.23158" TargetMode="External"/><Relationship Id="rIdLink23" Type="http://schemas.openxmlformats.org/officeDocument/2006/relationships/hyperlink" Target="https://doi.org/10.1109/TDSC.2021.3051525" TargetMode="External"/><Relationship Id="rIdLink24" Type="http://schemas.openxmlformats.org/officeDocument/2006/relationships/hyperlink" Target="https://arxiv.org/abs/2410.09381" TargetMode="External"/><Relationship Id="rIdLink25" Type="http://schemas.openxmlformats.org/officeDocument/2006/relationships/hyperlink" Target="https://arxiv.org/abs/2401.16185" TargetMode="External"/><Relationship Id="rIdLink26" Type="http://schemas.openxmlformats.org/officeDocument/2006/relationships/hyperlink" Target="https://doi.org/10.18653/v1/2024.acl-long.91" TargetMode="External"/><Relationship Id="rIdLink27" Type="http://schemas.openxmlformats.org/officeDocument/2006/relationships/hyperlink" Target="https://arxiv.org/abs/2005.11401" TargetMode="External"/><Relationship Id="rIdLink28" Type="http://schemas.openxmlformats.org/officeDocument/2006/relationships/hyperlink" Target="https://doi.org/10.1145/1250734.1250748" TargetMode="External"/><Relationship Id="rIdLink29" Type="http://schemas.openxmlformats.org/officeDocument/2006/relationships/hyperlink" Target="https://arxiv.org/abs/2202.11409" TargetMode="External"/><Relationship Id="rIdLink30" Type="http://schemas.openxmlformats.org/officeDocument/2006/relationships/hyperlink" Target="https://doi.org/10.1109/TSE.2024.3383422" TargetMode="External"/><Relationship Id="rIdLink31" Type="http://schemas.openxmlformats.org/officeDocument/2006/relationships/hyperlink" Target="https://github.com/sjag77/AnchorSlice" TargetMode="External"/></Relationships>
</file>