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2D8C"/>
          <w:sz w:val="32"/>
        </w:rPr>
        <w:t>Agentic, Auditable Decision-Making for Payment Integrity</w:t>
      </w:r>
    </w:p>
    <w:p>
      <w:pPr>
        <w:jc w:val="center"/>
      </w:pPr>
      <w:r>
        <w:rPr>
          <w:i/>
          <w:sz w:val="22"/>
        </w:rPr>
        <w:t>Pairing Statistical Pattern Recognition with Chain-Reasoning AI across Treatment, Payment &amp; Operations</w:t>
      </w:r>
    </w:p>
    <w:p>
      <w:pPr>
        <w:jc w:val="center"/>
      </w:pPr>
      <w:r>
        <w:rPr>
          <w:color w:val="555555"/>
          <w:sz w:val="19"/>
        </w:rPr>
        <w:t>Cotiviti GenAI Intern Assessment, Topic 2: Clinical Decision Making &amp; Pattern Recognition</w:t>
      </w:r>
    </w:p>
    <w:p>
      <w:pPr>
        <w:jc w:val="center"/>
      </w:pPr>
      <w:r>
        <w:rPr>
          <w:color w:val="666666"/>
          <w:sz w:val="19"/>
        </w:rPr>
        <w:t>Srinidhi Jagannathan   |   MS Business Analytics, Santa Clara University   |   July 1, 2026</w:t>
      </w:r>
    </w:p>
    <w:p>
      <w:pPr>
        <w:spacing w:before="160"/>
      </w:pPr>
      <w:r>
        <w:rPr>
          <w:b/>
          <w:color w:val="5A2D8C"/>
          <w:sz w:val="25"/>
        </w:rPr>
        <w:t>Defining the Concept</w:t>
      </w:r>
    </w:p>
    <w:p>
      <w:pPr>
        <w:jc w:val="both"/>
      </w:pPr>
      <w:r>
        <w:t>Clinical decision making and pattern recognition run across the Treatment, Payment, and Operations (TPO) lifecycle, and they split into two complementary halves. The first is statistical pattern recognition: classification, prediction, inference, clustering, and time-series anomaly detection, which surface what looks abnormal in a stream of clinical or financial events. The second is decision making, namely chain reasoning and agentic generative AI, which determines what to do about a flagged event and why, and leaves a defensible record of that judgment. Payment integrity is the canonical TPO application: detectors surface suspicious claims, but a payer still has to decide to pay, review, or deny each one and justify that decision to providers and regulators.</w:t>
      </w:r>
    </w:p>
    <w:p>
      <w:pPr>
        <w:jc w:val="both"/>
      </w:pPr>
      <w:r>
        <w:t>This analysis is anchored by a working proof of concept, Verity, that demonstrates the decision-making half. Given a single claim and its free-text clinical note, an LLM orchestrator (Anthropic Claude) is the decision-maker: it reasons step by step, calls deterministic fact-lookup tools so it never invents codes or limits, and returns a PAY, FLAG, or DENY disposition with a cited rationale and an actionable remediation suggestion. The design uses hybrid grounding across six concerns. Four exact edits, procedure-to-procedure bundling (NCCI), frequency and units (MUE), modifier validity, and duplicate detection, are settled deterministically from the returned facts. The model owns the two judgment calls that require reading unstructured text: medical necessity and clinical documentation validation. Documentation validation is the headline capability. A high-complexity evaluation-and-management code billed against a note that documents only a trivial recheck is flagged as upcoding, which a deterministic rule cannot catch because it never reads the note. Every reasoning step, tool call, and verdict is captured in an exportable audit trail.</w:t>
      </w:r>
    </w:p>
    <w:p>
      <w:pPr>
        <w:spacing w:before="160"/>
      </w:pPr>
      <w:r>
        <w:rPr>
          <w:b/>
          <w:color w:val="5A2D8C"/>
          <w:sz w:val="25"/>
        </w:rPr>
        <w:t>Relevant Trends</w:t>
      </w:r>
    </w:p>
    <w:p>
      <w:pPr>
        <w:jc w:val="both"/>
      </w:pPr>
      <w:r>
        <w:t>Improper payments remain a large and growing problem. The Government Accountability Office estimated about $186 billion in federal improper payments for fiscal year 2025, with Medicare at $57 billion and Medicaid at $37 billion, and it names insufficient documentation as a recurring cause (U.S. GAO, 2026). That last point matters: a share of loss is not a wrong code but a right code unsupported by the record, the gap documentation validation targets. On the pattern-recognition side, machine learning for fraud, waste, and abuse has moved from research into operations, including supervised classification of claims, clustering of providers with similar billing fingerprints, and anomaly detection of aberrant patterns (Bauder &amp; Khoshgoftaar, 2017; Liu et al., 2008). These methods are strong at flagging that something is anomalous and weak at explaining why or deciding what should happen next.</w:t>
      </w:r>
    </w:p>
    <w:p>
      <w:pPr>
        <w:jc w:val="both"/>
      </w:pPr>
      <w:r>
        <w:t>On the decision-making side, the frontier has shifted from black-box scoring toward explainable, agentic reasoning. Chain-of-thought prompting (Wei et al., 2022) and reason-and-act agent loops (Yao et al., 2023) let a model reason over evidence and call external tools, so the model can supply judgment while a deterministic layer supplies the facts. In a regulated payment context the decisive trend is auditability with a human in the loop: a recommendation is only useful if it cites the specific policy it applied and leaves a traceable record for appeal.</w:t>
      </w:r>
    </w:p>
    <w:p>
      <w:pPr>
        <w:spacing w:before="160"/>
      </w:pPr>
      <w:r>
        <w:rPr>
          <w:b/>
          <w:color w:val="5A2D8C"/>
          <w:sz w:val="25"/>
        </w:rPr>
        <w:t>Opportunities for Cotiviti</w:t>
      </w:r>
    </w:p>
    <w:p>
      <w:pPr>
        <w:jc w:val="both"/>
      </w:pPr>
      <w:r>
        <w:t>The opportunity is to connect the two halves. Feed the output of Cotiviti's statistical detectors into an agentic reasoning layer that classifies each candidate into a disposition, explains it in plain language, cites the governing policy, and, crucially, reads the clinical note. Verity shows this concretely. It validates documentation against the billed code, so it can catch upcoding and unsupported services that code-pair and unit edits miss entirely. It attaches a remediation suggestion to each disposition, which turns a denial into an actionable next step and reduces provider abrasion. It also reads the note in both directions, clearing a legitimate same-day repeat that a units edit would otherwise deny. Throughput rises because the agent pre-screens and drafts the rationale, consistency rises because every decision carries cited evidence, and appeals defensibility rises because the audit trail is the record.</w:t>
      </w:r>
    </w:p>
    <w:p>
      <w:pPr>
        <w:spacing w:before="160"/>
      </w:pPr>
      <w:r>
        <w:rPr>
          <w:b/>
          <w:color w:val="5A2D8C"/>
          <w:sz w:val="25"/>
        </w:rPr>
        <w:t>Threats and Risks</w:t>
      </w:r>
    </w:p>
    <w:p>
      <w:pPr>
        <w:jc w:val="both"/>
      </w:pPr>
      <w:r>
        <w:t>Because the model now decides, the dominant risk is a confident but wrong disposition. Verity contains this in three ways: it grounds every code and limit in deterministic fact tools so the model cannot hallucinate the facts, it settles the four exact edits deterministically rather than by judgment, and it records the full chain for review. Its confidence score is model-assessed and indicative, not calibrated. Statistical detection carries its own risk: false positives drive provider abrasion, so the reasoning-and-review layer is not optional. Protected health information demands strict governance, including encryption, access control, and minimized prompts. Both models and policies drift as detector accuracy decays and coding rules change, so an evaluation pipeline and ongoing monitoring are prerequisites. Fidelity of the encoded policy also matters. Edit semantics must be exact; for example, modifiers 76 and 77 document a repeat procedure but are not NCCI procedure-to-procedure bypass modifiers, so treating them as a bundling override would produce wrong decisions at scale (CMS, 2026b).</w:t>
      </w:r>
    </w:p>
    <w:p>
      <w:pPr>
        <w:spacing w:before="160"/>
      </w:pPr>
      <w:r>
        <w:rPr>
          <w:b/>
          <w:color w:val="5A2D8C"/>
          <w:sz w:val="25"/>
        </w:rPr>
        <w:t>Strategic Recommendation</w:t>
      </w:r>
    </w:p>
    <w:p>
      <w:pPr>
        <w:jc w:val="both"/>
      </w:pPr>
      <w:r>
        <w:t>Cotiviti should invest in a two-layer payment-integrity architecture that unites the topic's techniques. Layer one is statistical pattern recognition, using classification, clustering, and time-series anomaly detection to surface candidate claims and providers. Layer two is an agentic, fact-grounded reasoning engine that decides each candidate's disposition, validates the clinical documentation, produces a cited rationale and a remediation suggestion, and routes denials and audits through human sign-off. Verity demonstrates layer two end to end, with an offline-safe mode for reliability.</w:t>
      </w:r>
    </w:p>
    <w:p>
      <w:pPr>
        <w:jc w:val="both"/>
      </w:pPr>
      <w:r>
        <w:t>The path should be staged. Begin with a bounded, high-confidence edit set plus documentation validation, as the POC does, then measure precision and recall per disposition against a large labeled evaluation set and scale as the metrics justify. It keeps the system conservative while consuming whatever detection signals Cotiviti already runs rather than replacing them, and extends naturally into risk adjustment and Star ratings.</w:t>
      </w:r>
    </w:p>
    <w:p>
      <w:pPr>
        <w:pageBreakBefore/>
        <w:jc w:val="center"/>
      </w:pPr>
      <w:r>
        <w:rPr>
          <w:b/>
          <w:sz w:val="25"/>
        </w:rPr>
        <w:t>References</w:t>
      </w:r>
    </w:p>
    <w:p>
      <w:pPr>
        <w:spacing w:after="160"/>
        <w:ind w:left="720" w:hanging="720"/>
      </w:pPr>
      <w:r>
        <w:t>American Medical Association. (2026). CPT 2026 code set (Current Procedural Terminology). https://www.ama-assn.org/practice-management/cpt</w:t>
      </w:r>
    </w:p>
    <w:p>
      <w:pPr>
        <w:spacing w:after="160"/>
        <w:ind w:left="720" w:hanging="720"/>
      </w:pPr>
      <w:r>
        <w:t>Bauder, R. A., &amp; Khoshgoftaar, T. M. (2017). Medicare fraud detection using machine learning methods. In 2017 16th IEEE International Conference on Machine Learning and Applications (ICMLA) (pp. 858-865). IEEE. https://doi.org/10.1109/ICMLA.2017.00-48</w:t>
      </w:r>
    </w:p>
    <w:p>
      <w:pPr>
        <w:spacing w:after="160"/>
        <w:ind w:left="720" w:hanging="720"/>
      </w:pPr>
      <w:r>
        <w:t>Centers for Medicare &amp; Medicaid Services. (2026a). Medicare National Correct Coding Initiative (NCCI) edits: Procedure-to-procedure edits and Medically Unlikely Edits (MUEs). U.S. Department of Health and Human Services. https://www.cms.gov/medicare/coding-billing/national-correct-coding-initiative-ncci-edits</w:t>
      </w:r>
    </w:p>
    <w:p>
      <w:pPr>
        <w:spacing w:after="160"/>
        <w:ind w:left="720" w:hanging="720"/>
      </w:pPr>
      <w:r>
        <w:t>Centers for Medicare &amp; Medicaid Services. (2026b). Medicare NCCI policy manual, Chapter 1: General correct coding policies. U.S. Department of Health and Human Services. https://www.cms.gov/files/document/01-chapter1-ncci-medicare-policy-manual-2026-final.pdf</w:t>
      </w:r>
    </w:p>
    <w:p>
      <w:pPr>
        <w:spacing w:after="160"/>
        <w:ind w:left="720" w:hanging="720"/>
      </w:pPr>
      <w:r>
        <w:t>Centers for Medicare &amp; Medicaid Services. (n.d.). Medicare Coverage Database: Local and national coverage determinations (LCDs and NCDs). U.S. Department of Health and Human Services. Retrieved July 1, 2026, from https://www.cms.gov/medicare-coverage-database/search.aspx</w:t>
      </w:r>
    </w:p>
    <w:p>
      <w:pPr>
        <w:spacing w:after="160"/>
        <w:ind w:left="720" w:hanging="720"/>
      </w:pPr>
      <w:r>
        <w:t>Liu, F. T., Ting, K. M., &amp; Zhou, Z.-H. (2008). Isolation forest. In 2008 Eighth IEEE International Conference on Data Mining (pp. 413-422). IEEE. https://doi.org/10.1109/ICDM.2008.17</w:t>
      </w:r>
    </w:p>
    <w:p>
      <w:pPr>
        <w:spacing w:after="160"/>
        <w:ind w:left="720" w:hanging="720"/>
      </w:pPr>
      <w:r>
        <w:t>National Center for Health Statistics. (2026). International Classification of Diseases, Tenth Revision, Clinical Modification (ICD-10-CM) files. Centers for Disease Control and Prevention. https://www.cdc.gov/nchs/icd/icd-10-cm/files.html</w:t>
      </w:r>
    </w:p>
    <w:p>
      <w:pPr>
        <w:spacing w:after="160"/>
        <w:ind w:left="720" w:hanging="720"/>
      </w:pPr>
      <w:r>
        <w:t>U.S. Government Accountability Office. (2026). Payment integrity: Agencies' estimated improper payments increased to $186 billion in fiscal year 2025 (GAO-26-108694). https://www.gao.gov/assets/gao-26-108694.pdf</w:t>
      </w:r>
    </w:p>
    <w:p>
      <w:pPr>
        <w:spacing w:after="160"/>
        <w:ind w:left="720" w:hanging="720"/>
      </w:pPr>
      <w:r>
        <w:t>Wei, J., Wang, X., Schuurmans, D., Bosma, M., Ichter, B., Xia, F., Chi, E., Le, Q., &amp; Zhou, D. (2022). Chain-of-thought prompting elicits reasoning in large language models. Advances in Neural Information Processing Systems, 35, 24824-24837. https://doi.org/10.48550/arXiv.2201.11903</w:t>
      </w:r>
    </w:p>
    <w:p>
      <w:pPr>
        <w:spacing w:after="160"/>
        <w:ind w:left="720" w:hanging="720"/>
      </w:pPr>
      <w:r>
        <w:t>Yao, S., Zhao, J., Yu, D., Du, N., Shafran, I., Narasimhan, K., &amp; Cao, Y. (2023). ReAct: Synergizing reasoning and acting in language models. In International Conference on Learning Representations (ICLR). https://doi.org/10.48550/arXiv.2210.03629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