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TELECOM AI CHATBOT</w:t>
      </w:r>
    </w:p>
    <w:p>
      <w:pPr>
        <w:jc w:val="center"/>
      </w:pPr>
      <w:r>
        <w:rPr>
          <w:b/>
          <w:sz w:val="30"/>
        </w:rPr>
        <w:t>Week 2 Task: System Architecture and Conversation Design</w:t>
      </w:r>
    </w:p>
    <w:p>
      <w:pPr>
        <w:jc w:val="center"/>
      </w:pPr>
      <w:r>
        <w:rPr>
          <w:i/>
        </w:rPr>
        <w:t>Technical Design Document</w:t>
      </w:r>
    </w:p>
    <w:p>
      <w:r>
        <w:t>Purpose: This document describes a practical architecture and conversation design for a telecom customer-support chatbot. The design covers customer authentication, intent recognition, backend/API integrations, data storage, common telecom workflows, fallback handling, security, monitoring, and future improvements.</w:t>
      </w:r>
    </w:p>
    <w:p>
      <w:pPr>
        <w:pStyle w:val="Heading1"/>
      </w:pPr>
      <w:r>
        <w:t>1. Introduction and Objectives</w:t>
      </w:r>
    </w:p>
    <w:p>
      <w:r>
        <w:t>Telecom customers often contact support to check data balance, view bills, recharge plans, report network problems, track service requests, and understand plan options. A conversational AI chatbot can provide quick, consistent support through a website, mobile application, or messaging channel. The chatbot should resolve simple requests automatically and transfer complex or sensitive cases to a human agent with the conversation context preserved.</w:t>
      </w:r>
    </w:p>
    <w:p>
      <w:r>
        <w:t>Main objectives:</w:t>
      </w:r>
    </w:p>
    <w:p>
      <w:pPr>
        <w:pStyle w:val="ListBullet"/>
      </w:pPr>
      <w:r>
        <w:t>Understand user messages and identify the most likely intent.</w:t>
      </w:r>
    </w:p>
    <w:p>
      <w:pPr>
        <w:pStyle w:val="ListBullet"/>
      </w:pPr>
      <w:r>
        <w:t>Validate identity before revealing account-specific information or performing account changes.</w:t>
      </w:r>
    </w:p>
    <w:p>
      <w:pPr>
        <w:pStyle w:val="ListBullet"/>
      </w:pPr>
      <w:r>
        <w:t>Connect to existing telecom systems through secure APIs rather than directly accessing databases.</w:t>
      </w:r>
    </w:p>
    <w:p>
      <w:pPr>
        <w:pStyle w:val="ListBullet"/>
      </w:pPr>
      <w:r>
        <w:t>Give clear, accurate responses and explain when information is unavailable.</w:t>
      </w:r>
    </w:p>
    <w:p>
      <w:pPr>
        <w:pStyle w:val="ListBullet"/>
      </w:pPr>
      <w:r>
        <w:t>Recover safely from unclear messages, API failures, and service outages.</w:t>
      </w:r>
    </w:p>
    <w:p>
      <w:pPr>
        <w:pStyle w:val="ListBullet"/>
      </w:pPr>
      <w:r>
        <w:t>Protect customer data and provide a smooth handoff to a human support agent.</w:t>
      </w:r>
    </w:p>
    <w:p>
      <w:pPr>
        <w:pStyle w:val="Heading1"/>
      </w:pPr>
      <w:r>
        <w:t>2. Scope and Assumptions</w:t>
      </w:r>
    </w:p>
    <w:p>
      <w:r>
        <w:t>The first version supports prepaid and postpaid customers. Core use cases are balance and data usage, bill summary, recharge or plan information, network issue reporting, service-request status, FAQs, and human-agent escalation. The design assumes that the telecom provider already has customer-management, billing, recharge, network-ticketing, and authentication services. The chatbot accesses these services through documented APIs. A production deployment must adapt authentication, consent, retention, and regulatory controls to the provider’s actual policies and applicable law.</w:t>
      </w:r>
    </w:p>
    <w:p>
      <w:pPr>
        <w:pStyle w:val="Heading1"/>
      </w:pPr>
      <w:r>
        <w:t>3. High-Level System Architecture</w:t>
      </w:r>
    </w:p>
    <w:p>
      <w:r>
        <w:t>Textual architecture diagram (request path):</w:t>
      </w:r>
    </w:p>
    <w:p>
      <w:pPr>
        <w:ind w:left="360"/>
      </w:pPr>
      <w:r>
        <w:rPr>
          <w:rFonts w:ascii="Consolas" w:hAnsi="Consolas"/>
          <w:sz w:val="18"/>
        </w:rPr>
        <w:t>[Customer: App / Website / Messaging Channel]\n                ↓\n[Channel Adapter / API Gateway: HTTPS, rate limits, request validation]\n                ↓\n[Conversation Orchestrator: session state, context, workflow routing]\n        ↙                 ↓                    ↘\n[NLP / NLU Engine] [Policy &amp; Authentication] [Human Handoff Manager]\n        ↓                 ↓                    ↓\n[Intent + entities] [OTP / token checks] [Agent desktop / ticket queue]\n                ↓\n[Business Services: Balance | Billing | Recharge | Network Ticket | FAQ]\n                ↓\n[Secure API Integration Layer]\n                ↓\n[CRM / Customer DB] [Billing System] [Recharge Platform] [Network/Ticket System]\n                ↓\n[Response Formatter → Safety/Policy Check → Channel Adapter → Customer]\n\nCross-cutting services: encrypted session store, audit logs, analytics, monitoring, secrets management.</w:t>
      </w:r>
    </w:p>
    <w:p>
      <w:pPr>
        <w:pStyle w:val="Heading1"/>
      </w:pPr>
      <w:r>
        <w:t>4. Component Responsibilities</w:t>
      </w:r>
    </w:p>
    <w:tbl>
      <w:tblPr>
        <w:tblStyle w:val="LightShading-Accent1"/>
        <w:tblW w:type="auto" w:w="0"/>
        <w:tblLook w:firstColumn="1" w:firstRow="1" w:lastColumn="0" w:lastRow="0" w:noHBand="0" w:noVBand="1" w:val="04A0"/>
      </w:tblPr>
      <w:tblGrid>
        <w:gridCol w:w="4968"/>
        <w:gridCol w:w="4968"/>
      </w:tblGrid>
      <w:tr>
        <w:tc>
          <w:tcPr>
            <w:tcW w:type="dxa" w:w="4968"/>
          </w:tcPr>
          <w:p>
            <w:r>
              <w:t>Component</w:t>
            </w:r>
          </w:p>
        </w:tc>
        <w:tc>
          <w:tcPr>
            <w:tcW w:type="dxa" w:w="4968"/>
          </w:tcPr>
          <w:p>
            <w:r>
              <w:t>Responsibility</w:t>
            </w:r>
          </w:p>
        </w:tc>
      </w:tr>
      <w:tr>
        <w:tc>
          <w:tcPr>
            <w:tcW w:type="dxa" w:w="4968"/>
          </w:tcPr>
          <w:p>
            <w:r>
              <w:t>Channel adapters</w:t>
            </w:r>
          </w:p>
        </w:tc>
        <w:tc>
          <w:tcPr>
            <w:tcW w:type="dxa" w:w="4968"/>
          </w:tcPr>
          <w:p>
            <w:r>
              <w:t>Receive messages from web, mobile app, or messaging platforms. Normalize channel-specific payloads and return responses in the correct format.</w:t>
            </w:r>
          </w:p>
        </w:tc>
      </w:tr>
      <w:tr>
        <w:tc>
          <w:tcPr>
            <w:tcW w:type="dxa" w:w="4968"/>
          </w:tcPr>
          <w:p>
            <w:r>
              <w:t>API gateway</w:t>
            </w:r>
          </w:p>
        </w:tc>
        <w:tc>
          <w:tcPr>
            <w:tcW w:type="dxa" w:w="4968"/>
          </w:tcPr>
          <w:p>
            <w:r>
              <w:t>Enforces HTTPS, authentication of calling applications, request-size limits, rate limiting, and basic schema validation.</w:t>
            </w:r>
          </w:p>
        </w:tc>
      </w:tr>
      <w:tr>
        <w:tc>
          <w:tcPr>
            <w:tcW w:type="dxa" w:w="4968"/>
          </w:tcPr>
          <w:p>
            <w:r>
              <w:t>Conversation orchestrator</w:t>
            </w:r>
          </w:p>
        </w:tc>
        <w:tc>
          <w:tcPr>
            <w:tcW w:type="dxa" w:w="4968"/>
          </w:tcPr>
          <w:p>
            <w:r>
              <w:t>Maintains conversation state, routes requests to the correct workflow, asks follow-up questions, and manages timeouts.</w:t>
            </w:r>
          </w:p>
        </w:tc>
      </w:tr>
      <w:tr>
        <w:tc>
          <w:tcPr>
            <w:tcW w:type="dxa" w:w="4968"/>
          </w:tcPr>
          <w:p>
            <w:r>
              <w:t>NLP/NLU engine</w:t>
            </w:r>
          </w:p>
        </w:tc>
        <w:tc>
          <w:tcPr>
            <w:tcW w:type="dxa" w:w="4968"/>
          </w:tcPr>
          <w:p>
            <w:r>
              <w:t>Classifies the user’s intent and extracts entities such as mobile number, plan name, date, or issue location. Returns confidence scores.</w:t>
            </w:r>
          </w:p>
        </w:tc>
      </w:tr>
      <w:tr>
        <w:tc>
          <w:tcPr>
            <w:tcW w:type="dxa" w:w="4968"/>
          </w:tcPr>
          <w:p>
            <w:r>
              <w:t>Dialogue and policy manager</w:t>
            </w:r>
          </w:p>
        </w:tc>
        <w:tc>
          <w:tcPr>
            <w:tcW w:type="dxa" w:w="4968"/>
          </w:tcPr>
          <w:p>
            <w:r>
              <w:t>Uses intent, context, authentication status, and business rules to decide the next safe action. Sensitive operations require explicit confirmation.</w:t>
            </w:r>
          </w:p>
        </w:tc>
      </w:tr>
      <w:tr>
        <w:tc>
          <w:tcPr>
            <w:tcW w:type="dxa" w:w="4968"/>
          </w:tcPr>
          <w:p>
            <w:r>
              <w:t>Authentication service</w:t>
            </w:r>
          </w:p>
        </w:tc>
        <w:tc>
          <w:tcPr>
            <w:tcW w:type="dxa" w:w="4968"/>
          </w:tcPr>
          <w:p>
            <w:r>
              <w:t>Verifies the customer using an approved login session or one-time password (OTP). The bot must not ask users to share passwords or OTPs in public channels.</w:t>
            </w:r>
          </w:p>
        </w:tc>
      </w:tr>
      <w:tr>
        <w:tc>
          <w:tcPr>
            <w:tcW w:type="dxa" w:w="4968"/>
          </w:tcPr>
          <w:p>
            <w:r>
              <w:t>Business service layer</w:t>
            </w:r>
          </w:p>
        </w:tc>
        <w:tc>
          <w:tcPr>
            <w:tcW w:type="dxa" w:w="4968"/>
          </w:tcPr>
          <w:p>
            <w:r>
              <w:t>Contains separate modules for balance, billing, recharge, network troubleshooting, service tickets, and FAQs. Keeps business rules out of the language model.</w:t>
            </w:r>
          </w:p>
        </w:tc>
      </w:tr>
      <w:tr>
        <w:tc>
          <w:tcPr>
            <w:tcW w:type="dxa" w:w="4968"/>
          </w:tcPr>
          <w:p>
            <w:r>
              <w:t>API integration layer</w:t>
            </w:r>
          </w:p>
        </w:tc>
        <w:tc>
          <w:tcPr>
            <w:tcW w:type="dxa" w:w="4968"/>
          </w:tcPr>
          <w:p>
            <w:r>
              <w:t>Calls CRM, billing, recharge, and ticket systems using scoped service credentials. Validates responses and maps errors to standard internal codes.</w:t>
            </w:r>
          </w:p>
        </w:tc>
      </w:tr>
      <w:tr>
        <w:tc>
          <w:tcPr>
            <w:tcW w:type="dxa" w:w="4968"/>
          </w:tcPr>
          <w:p>
            <w:r>
              <w:t>Databases and cache</w:t>
            </w:r>
          </w:p>
        </w:tc>
        <w:tc>
          <w:tcPr>
            <w:tcW w:type="dxa" w:w="4968"/>
          </w:tcPr>
          <w:p>
            <w:r>
              <w:t>CRM is the source of customer records; billing and recharge systems remain authoritative for transactions. A short-lived session store holds dialogue state. A cache may hold non-sensitive FAQ content.</w:t>
            </w:r>
          </w:p>
        </w:tc>
      </w:tr>
      <w:tr>
        <w:tc>
          <w:tcPr>
            <w:tcW w:type="dxa" w:w="4968"/>
          </w:tcPr>
          <w:p>
            <w:r>
              <w:t>Monitoring and analytics</w:t>
            </w:r>
          </w:p>
        </w:tc>
        <w:tc>
          <w:tcPr>
            <w:tcW w:type="dxa" w:w="4968"/>
          </w:tcPr>
          <w:p>
            <w:r>
              <w:t>Records operational metrics, anonymized intent trends, latency, errors, fallback rates, and escalation rates. Audit events should avoid storing unnecessary sensitive content.</w:t>
            </w:r>
          </w:p>
        </w:tc>
      </w:tr>
      <w:tr>
        <w:tc>
          <w:tcPr>
            <w:tcW w:type="dxa" w:w="4968"/>
          </w:tcPr>
          <w:p>
            <w:r>
              <w:t>Human-agent handoff</w:t>
            </w:r>
          </w:p>
        </w:tc>
        <w:tc>
          <w:tcPr>
            <w:tcW w:type="dxa" w:w="4968"/>
          </w:tcPr>
          <w:p>
            <w:r>
              <w:t>Creates or updates a support ticket and transfers a concise summary, verified customer context, troubleshooting already completed, and relevant error codes.</w:t>
            </w:r>
          </w:p>
        </w:tc>
      </w:tr>
    </w:tbl>
    <w:p>
      <w:pPr>
        <w:pStyle w:val="Heading1"/>
      </w:pPr>
      <w:r>
        <w:t>5. Example API Interactions</w:t>
      </w:r>
    </w:p>
    <w:p>
      <w:r>
        <w:t>The chatbot should call internal, authenticated APIs through the integration layer. The endpoint names below are illustrative and must be replaced with the telecom provider’s actual API contract.</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Use case</w:t>
            </w:r>
          </w:p>
        </w:tc>
        <w:tc>
          <w:tcPr>
            <w:tcW w:type="dxa" w:w="3312"/>
          </w:tcPr>
          <w:p>
            <w:r>
              <w:t>Illustrative API</w:t>
            </w:r>
          </w:p>
        </w:tc>
        <w:tc>
          <w:tcPr>
            <w:tcW w:type="dxa" w:w="3312"/>
          </w:tcPr>
          <w:p>
            <w:r>
              <w:t>Validation / response handling</w:t>
            </w:r>
          </w:p>
        </w:tc>
      </w:tr>
      <w:tr>
        <w:tc>
          <w:tcPr>
            <w:tcW w:type="dxa" w:w="3312"/>
          </w:tcPr>
          <w:p>
            <w:r>
              <w:t>Balance / data usage</w:t>
            </w:r>
          </w:p>
        </w:tc>
        <w:tc>
          <w:tcPr>
            <w:tcW w:type="dxa" w:w="3312"/>
          </w:tcPr>
          <w:p>
            <w:r>
              <w:t>GET /customers/{customerId}/usage</w:t>
            </w:r>
          </w:p>
        </w:tc>
        <w:tc>
          <w:tcPr>
            <w:tcW w:type="dxa" w:w="3312"/>
          </w:tcPr>
          <w:p>
            <w:r>
              <w:t>Verify active session; validate customer ID; return remaining data, voice, and validity only.</w:t>
            </w:r>
          </w:p>
        </w:tc>
      </w:tr>
      <w:tr>
        <w:tc>
          <w:tcPr>
            <w:tcW w:type="dxa" w:w="3312"/>
          </w:tcPr>
          <w:p>
            <w:r>
              <w:t>Bill summary</w:t>
            </w:r>
          </w:p>
        </w:tc>
        <w:tc>
          <w:tcPr>
            <w:tcW w:type="dxa" w:w="3312"/>
          </w:tcPr>
          <w:p>
            <w:r>
              <w:t>GET /accounts/{accountId}/bills/current</w:t>
            </w:r>
          </w:p>
        </w:tc>
        <w:tc>
          <w:tcPr>
            <w:tcW w:type="dxa" w:w="3312"/>
          </w:tcPr>
          <w:p>
            <w:r>
              <w:t>Authenticate customer; return amount due and due date; avoid exposing full payment details.</w:t>
            </w:r>
          </w:p>
        </w:tc>
      </w:tr>
      <w:tr>
        <w:tc>
          <w:tcPr>
            <w:tcW w:type="dxa" w:w="3312"/>
          </w:tcPr>
          <w:p>
            <w:r>
              <w:t>Recharge</w:t>
            </w:r>
          </w:p>
        </w:tc>
        <w:tc>
          <w:tcPr>
            <w:tcW w:type="dxa" w:w="3312"/>
          </w:tcPr>
          <w:p>
            <w:r>
              <w:t>POST /recharges</w:t>
            </w:r>
          </w:p>
        </w:tc>
        <w:tc>
          <w:tcPr>
            <w:tcW w:type="dxa" w:w="3312"/>
          </w:tcPr>
          <w:p>
            <w:r>
              <w:t>Show plan and price; validate number and eligibility; ask for confirmation; use idempotency key; return transaction status.</w:t>
            </w:r>
          </w:p>
        </w:tc>
      </w:tr>
      <w:tr>
        <w:tc>
          <w:tcPr>
            <w:tcW w:type="dxa" w:w="3312"/>
          </w:tcPr>
          <w:p>
            <w:r>
              <w:t>Network issue</w:t>
            </w:r>
          </w:p>
        </w:tc>
        <w:tc>
          <w:tcPr>
            <w:tcW w:type="dxa" w:w="3312"/>
          </w:tcPr>
          <w:p>
            <w:r>
              <w:t>POST /support/tickets</w:t>
            </w:r>
          </w:p>
        </w:tc>
        <w:tc>
          <w:tcPr>
            <w:tcW w:type="dxa" w:w="3312"/>
          </w:tcPr>
          <w:p>
            <w:r>
              <w:t>Collect area, symptoms, and start time; validate required fields; create a ticket and return its reference number.</w:t>
            </w:r>
          </w:p>
        </w:tc>
      </w:tr>
      <w:tr>
        <w:tc>
          <w:tcPr>
            <w:tcW w:type="dxa" w:w="3312"/>
          </w:tcPr>
          <w:p>
            <w:r>
              <w:t>Ticket status</w:t>
            </w:r>
          </w:p>
        </w:tc>
        <w:tc>
          <w:tcPr>
            <w:tcW w:type="dxa" w:w="3312"/>
          </w:tcPr>
          <w:p>
            <w:r>
              <w:t>GET /support/tickets/{ticketId}</w:t>
            </w:r>
          </w:p>
        </w:tc>
        <w:tc>
          <w:tcPr>
            <w:tcW w:type="dxa" w:w="3312"/>
          </w:tcPr>
          <w:p>
            <w:r>
              <w:t>Confirm the user is authorized to see the ticket; return current status and next step.</w:t>
            </w:r>
          </w:p>
        </w:tc>
      </w:tr>
    </w:tbl>
    <w:p>
      <w:pPr>
        <w:pStyle w:val="Heading1"/>
      </w:pPr>
      <w:r>
        <w:t>6. Conversation Flow A: Check Data Balance</w:t>
      </w:r>
    </w:p>
    <w:p>
      <w:r>
        <w:t>1. Customer: “How much data do I have left?”</w:t>
      </w:r>
    </w:p>
    <w:p>
      <w:r>
        <w:t>2. Bot identifies intent = CHECK_DATA_BALANCE. If confidence is low, it asks whether the customer means mobile data or account balance.</w:t>
      </w:r>
    </w:p>
    <w:p>
      <w:r>
        <w:t>3. Bot checks whether the customer has a valid authenticated session.</w:t>
      </w:r>
    </w:p>
    <w:p>
      <w:r>
        <w:t>4. If not authenticated, bot explains that verification is required and triggers the approved login/OTP flow.</w:t>
      </w:r>
    </w:p>
    <w:p>
      <w:r>
        <w:t>5. After verification, the orchestrator requests the usage service through the API integration layer.</w:t>
      </w:r>
    </w:p>
    <w:p>
      <w:r>
        <w:t>6. The service validates the customer account and returns remaining data and validity.</w:t>
      </w:r>
    </w:p>
    <w:p>
      <w:r>
        <w:t>7. Bot formats the result in simple language, for example: “You have 1.5 GB remaining. Your pack expires on 18 October.” Use actual API values only.</w:t>
      </w:r>
    </w:p>
    <w:p>
      <w:r>
        <w:t>8. If the API fails, bot does not guess. It says the balance cannot be retrieved right now and offers retry or agent support.</w:t>
      </w:r>
    </w:p>
    <w:p>
      <w:pPr>
        <w:pStyle w:val="Heading1"/>
      </w:pPr>
      <w:r>
        <w:t>7. Conversation Flow B: Recharge a Plan</w:t>
      </w:r>
    </w:p>
    <w:p>
      <w:r>
        <w:t>1. Customer: “I want to recharge my number.”</w:t>
      </w:r>
    </w:p>
    <w:p>
      <w:r>
        <w:t>2. Bot identifies intent = RECHARGE and asks which eligible number/account to recharge if it is not clear.</w:t>
      </w:r>
    </w:p>
    <w:p>
      <w:r>
        <w:t>3. Bot retrieves available plans from the plan catalogue and shows price, data allowance, validity, and important terms.</w:t>
      </w:r>
    </w:p>
    <w:p>
      <w:r>
        <w:t>4. Customer selects a plan. Bot repeats the selected number and plan details and asks for explicit confirmation.</w:t>
      </w:r>
    </w:p>
    <w:p>
      <w:r>
        <w:t>5. Before payment or transaction initiation, the system checks account eligibility and validates the request.</w:t>
      </w:r>
    </w:p>
    <w:p>
      <w:r>
        <w:t>6. The recharge API is called with a unique idempotency key to reduce duplicate transactions during retries.</w:t>
      </w:r>
    </w:p>
    <w:p>
      <w:r>
        <w:t>7. Bot reports success only after receiving a confirmed successful status. If status is pending, it explains that the transaction is being checked.</w:t>
      </w:r>
    </w:p>
    <w:p>
      <w:r>
        <w:t>8. If the result is uncertain, bot checks transaction status before retrying and provides a reference number where available.</w:t>
      </w:r>
    </w:p>
    <w:p>
      <w:pPr>
        <w:pStyle w:val="Heading1"/>
      </w:pPr>
      <w:r>
        <w:t>8. Conversation Flow C: Report a Network Problem</w:t>
      </w:r>
    </w:p>
    <w:p>
      <w:r>
        <w:t>1. Customer: “My internet is very slow.”</w:t>
      </w:r>
    </w:p>
    <w:p>
      <w:r>
        <w:t>2. Bot identifies intent = NETWORK_TROUBLESHOOTING and asks for the affected area or whether the issue occurs indoors/outdoors.</w:t>
      </w:r>
    </w:p>
    <w:p>
      <w:r>
        <w:t>3. Bot asks short diagnostic questions: mobile data or Wi-Fi, whether calls are affected, and when the issue began.</w:t>
      </w:r>
    </w:p>
    <w:p>
      <w:r>
        <w:t>4. Bot offers safe basic checks, such as toggling airplane mode, checking data allowance, and restarting the device. It avoids claiming a network outage without evidence.</w:t>
      </w:r>
    </w:p>
    <w:p>
      <w:r>
        <w:t>5. The network-status service checks known outages for the reported area, if that integration is available.</w:t>
      </w:r>
    </w:p>
    <w:p>
      <w:r>
        <w:t>6. If the problem remains, the bot validates the required fields and creates a network support ticket.</w:t>
      </w:r>
    </w:p>
    <w:p>
      <w:r>
        <w:t>7. Bot gives the ticket reference, expected next step if supplied by the ticketing system, and an option to contact a human agent.</w:t>
      </w:r>
    </w:p>
    <w:p>
      <w:pPr>
        <w:pStyle w:val="Heading1"/>
      </w:pPr>
      <w:r>
        <w:t>9. Fallback and Error-Handling Strategy</w:t>
      </w:r>
    </w:p>
    <w:tbl>
      <w:tblPr>
        <w:tblStyle w:val="LightShading-Accent1"/>
        <w:tblW w:type="auto" w:w="0"/>
        <w:tblLook w:firstColumn="1" w:firstRow="1" w:lastColumn="0" w:lastRow="0" w:noHBand="0" w:noVBand="1" w:val="04A0"/>
      </w:tblPr>
      <w:tblGrid>
        <w:gridCol w:w="4968"/>
        <w:gridCol w:w="4968"/>
      </w:tblGrid>
      <w:tr>
        <w:tc>
          <w:tcPr>
            <w:tcW w:type="dxa" w:w="4968"/>
          </w:tcPr>
          <w:p>
            <w:r>
              <w:t>Situation</w:t>
            </w:r>
          </w:p>
        </w:tc>
        <w:tc>
          <w:tcPr>
            <w:tcW w:type="dxa" w:w="4968"/>
          </w:tcPr>
          <w:p>
            <w:r>
              <w:t>Fallback behaviour</w:t>
            </w:r>
          </w:p>
        </w:tc>
      </w:tr>
      <w:tr>
        <w:tc>
          <w:tcPr>
            <w:tcW w:type="dxa" w:w="4968"/>
          </w:tcPr>
          <w:p>
            <w:r>
              <w:t>Unrecognized intent</w:t>
            </w:r>
          </w:p>
        </w:tc>
        <w:tc>
          <w:tcPr>
            <w:tcW w:type="dxa" w:w="4968"/>
          </w:tcPr>
          <w:p>
            <w:r>
              <w:t>Ask a short clarification question and offer common choices: balance, bill, recharge, network issue, or agent. After repeated failures, offer human support.</w:t>
            </w:r>
          </w:p>
        </w:tc>
      </w:tr>
      <w:tr>
        <w:tc>
          <w:tcPr>
            <w:tcW w:type="dxa" w:w="4968"/>
          </w:tcPr>
          <w:p>
            <w:r>
              <w:t>Low NLU confidence</w:t>
            </w:r>
          </w:p>
        </w:tc>
        <w:tc>
          <w:tcPr>
            <w:tcW w:type="dxa" w:w="4968"/>
          </w:tcPr>
          <w:p>
            <w:r>
              <w:t>Do not execute account actions. Confirm the interpreted request, e.g., “Do you want to check your data balance?”</w:t>
            </w:r>
          </w:p>
        </w:tc>
      </w:tr>
      <w:tr>
        <w:tc>
          <w:tcPr>
            <w:tcW w:type="dxa" w:w="4968"/>
          </w:tcPr>
          <w:p>
            <w:r>
              <w:t>Missing information</w:t>
            </w:r>
          </w:p>
        </w:tc>
        <w:tc>
          <w:tcPr>
            <w:tcW w:type="dxa" w:w="4968"/>
          </w:tcPr>
          <w:p>
            <w:r>
              <w:t>Ask only for the field required for the next step; validate format and explain acceptable input.</w:t>
            </w:r>
          </w:p>
        </w:tc>
      </w:tr>
      <w:tr>
        <w:tc>
          <w:tcPr>
            <w:tcW w:type="dxa" w:w="4968"/>
          </w:tcPr>
          <w:p>
            <w:r>
              <w:t>Authentication failure</w:t>
            </w:r>
          </w:p>
        </w:tc>
        <w:tc>
          <w:tcPr>
            <w:tcW w:type="dxa" w:w="4968"/>
          </w:tcPr>
          <w:p>
            <w:r>
              <w:t>Limit repeated attempts, avoid confirming whether an account exists, and offer the approved recovery process.</w:t>
            </w:r>
          </w:p>
        </w:tc>
      </w:tr>
      <w:tr>
        <w:tc>
          <w:tcPr>
            <w:tcW w:type="dxa" w:w="4968"/>
          </w:tcPr>
          <w:p>
            <w:r>
              <w:t>API timeout / outage</w:t>
            </w:r>
          </w:p>
        </w:tc>
        <w:tc>
          <w:tcPr>
            <w:tcW w:type="dxa" w:w="4968"/>
          </w:tcPr>
          <w:p>
            <w:r>
              <w:t>Use a short timeout, limited retry with backoff for safe operations, and a clear service-unavailable message. Do not fabricate a result.</w:t>
            </w:r>
          </w:p>
        </w:tc>
      </w:tr>
      <w:tr>
        <w:tc>
          <w:tcPr>
            <w:tcW w:type="dxa" w:w="4968"/>
          </w:tcPr>
          <w:p>
            <w:r>
              <w:t>Duplicate transaction risk</w:t>
            </w:r>
          </w:p>
        </w:tc>
        <w:tc>
          <w:tcPr>
            <w:tcW w:type="dxa" w:w="4968"/>
          </w:tcPr>
          <w:p>
            <w:r>
              <w:t>Use idempotency keys and check transaction status before retrying recharge or payment actions.</w:t>
            </w:r>
          </w:p>
        </w:tc>
      </w:tr>
      <w:tr>
        <w:tc>
          <w:tcPr>
            <w:tcW w:type="dxa" w:w="4968"/>
          </w:tcPr>
          <w:p>
            <w:r>
              <w:t>Unsafe or unauthorized request</w:t>
            </w:r>
          </w:p>
        </w:tc>
        <w:tc>
          <w:tcPr>
            <w:tcW w:type="dxa" w:w="4968"/>
          </w:tcPr>
          <w:p>
            <w:r>
              <w:t>Refuse the action politely, explain the verification requirement, and log a minimal security event.</w:t>
            </w:r>
          </w:p>
        </w:tc>
      </w:tr>
      <w:tr>
        <w:tc>
          <w:tcPr>
            <w:tcW w:type="dxa" w:w="4968"/>
          </w:tcPr>
          <w:p>
            <w:r>
              <w:t>Human handoff unavailable</w:t>
            </w:r>
          </w:p>
        </w:tc>
        <w:tc>
          <w:tcPr>
            <w:tcW w:type="dxa" w:w="4968"/>
          </w:tcPr>
          <w:p>
            <w:r>
              <w:t>Create a callback/support ticket if possible and provide its reference. If not possible, explain the limitation and give the official support channel configured by the provider.</w:t>
            </w:r>
          </w:p>
        </w:tc>
      </w:tr>
    </w:tbl>
    <w:p>
      <w:pPr>
        <w:pStyle w:val="Heading1"/>
      </w:pPr>
      <w:r>
        <w:t>10. Security, Privacy, and Reliability</w:t>
      </w:r>
    </w:p>
    <w:p>
      <w:pPr>
        <w:pStyle w:val="ListBullet"/>
      </w:pPr>
      <w:r>
        <w:t>Use TLS/HTTPS for data in transit and encryption at rest for stored data.</w:t>
      </w:r>
    </w:p>
    <w:p>
      <w:pPr>
        <w:pStyle w:val="ListBullet"/>
      </w:pPr>
      <w:r>
        <w:t>Apply least-privilege access, scoped service credentials, secrets management, and role-based authorization.</w:t>
      </w:r>
    </w:p>
    <w:p>
      <w:pPr>
        <w:pStyle w:val="ListBullet"/>
      </w:pPr>
      <w:r>
        <w:t>Authenticate before displaying account-specific information or changing services; request confirmation for purchases and other high-impact actions.</w:t>
      </w:r>
    </w:p>
    <w:p>
      <w:pPr>
        <w:pStyle w:val="ListBullet"/>
      </w:pPr>
      <w:r>
        <w:t>Mask phone numbers and other identifiers in logs. Keep only the data needed for operations and follow retention/deletion policies.</w:t>
      </w:r>
    </w:p>
    <w:p>
      <w:pPr>
        <w:pStyle w:val="ListBullet"/>
      </w:pPr>
      <w:r>
        <w:t>Validate all user inputs and API responses; use parameterized database queries and strict schemas.</w:t>
      </w:r>
    </w:p>
    <w:p>
      <w:pPr>
        <w:pStyle w:val="ListBullet"/>
      </w:pPr>
      <w:r>
        <w:t>Use rate limiting, abuse detection, circuit breakers, timeouts, and controlled retries for external service failures.</w:t>
      </w:r>
    </w:p>
    <w:p>
      <w:pPr>
        <w:pStyle w:val="ListBullet"/>
      </w:pPr>
      <w:r>
        <w:t>Keep the language model away from direct database credentials and payment execution. Deterministic backend services must enforce business rules.</w:t>
      </w:r>
    </w:p>
    <w:p>
      <w:pPr>
        <w:pStyle w:val="ListBullet"/>
      </w:pPr>
      <w:r>
        <w:t>Monitor latency, failed API calls, fallback frequency, escalation rate, customer satisfaction, and task completion rate.</w:t>
      </w:r>
    </w:p>
    <w:p>
      <w:pPr>
        <w:pStyle w:val="Heading1"/>
      </w:pPr>
      <w:r>
        <w:t>11. Innovative but Practical Features</w:t>
      </w:r>
    </w:p>
    <w:p>
      <w:pPr>
        <w:pStyle w:val="ListBullet"/>
      </w:pPr>
      <w:r>
        <w:t>Context-aware support: remember the current issue during the active session so the customer does not repeat details.</w:t>
      </w:r>
    </w:p>
    <w:p>
      <w:pPr>
        <w:pStyle w:val="ListBullet"/>
      </w:pPr>
      <w:r>
        <w:t>Proactive outage notice: if an authoritative network-status service confirms an outage, inform affected users and show the available update.</w:t>
      </w:r>
    </w:p>
    <w:p>
      <w:pPr>
        <w:pStyle w:val="ListBullet"/>
      </w:pPr>
      <w:r>
        <w:t>Multilingual support: offer Tamil and English with consistent service terminology and an easy language switch.</w:t>
      </w:r>
    </w:p>
    <w:p>
      <w:pPr>
        <w:pStyle w:val="ListBullet"/>
      </w:pPr>
      <w:r>
        <w:t>Smart escalation summary: send the human agent the intent, verification state, steps tried, and ticket/API reference.</w:t>
      </w:r>
    </w:p>
    <w:p>
      <w:pPr>
        <w:pStyle w:val="ListBullet"/>
      </w:pPr>
      <w:r>
        <w:t>Fraud-aware safeguards: flag unusual recharge patterns for additional verification without automatically accusing the customer.</w:t>
      </w:r>
    </w:p>
    <w:p>
      <w:pPr>
        <w:pStyle w:val="ListBullet"/>
      </w:pPr>
      <w:r>
        <w:t>Accessibility: concise messages, simple wording, clear choices, and support for screen readers in the app interface.</w:t>
      </w:r>
    </w:p>
    <w:p>
      <w:pPr>
        <w:pStyle w:val="Heading1"/>
      </w:pPr>
      <w:r>
        <w:t>12. Potential Challenges and Mitigations</w:t>
      </w:r>
    </w:p>
    <w:tbl>
      <w:tblPr>
        <w:tblStyle w:val="LightShading-Accent1"/>
        <w:tblW w:type="auto" w:w="0"/>
        <w:tblLook w:firstColumn="1" w:firstRow="1" w:lastColumn="0" w:lastRow="0" w:noHBand="0" w:noVBand="1" w:val="04A0"/>
      </w:tblPr>
      <w:tblGrid>
        <w:gridCol w:w="4968"/>
        <w:gridCol w:w="4968"/>
      </w:tblGrid>
      <w:tr>
        <w:tc>
          <w:tcPr>
            <w:tcW w:type="dxa" w:w="4968"/>
          </w:tcPr>
          <w:p>
            <w:r>
              <w:t>Challenge</w:t>
            </w:r>
          </w:p>
        </w:tc>
        <w:tc>
          <w:tcPr>
            <w:tcW w:type="dxa" w:w="4968"/>
          </w:tcPr>
          <w:p>
            <w:r>
              <w:t>Mitigation</w:t>
            </w:r>
          </w:p>
        </w:tc>
      </w:tr>
      <w:tr>
        <w:tc>
          <w:tcPr>
            <w:tcW w:type="dxa" w:w="4968"/>
          </w:tcPr>
          <w:p>
            <w:r>
              <w:t>Different legacy systems and inconsistent APIs</w:t>
            </w:r>
          </w:p>
        </w:tc>
        <w:tc>
          <w:tcPr>
            <w:tcW w:type="dxa" w:w="4968"/>
          </w:tcPr>
          <w:p>
            <w:r>
              <w:t>Use adapters and a standard internal response schema; document API contracts and versioning.</w:t>
            </w:r>
          </w:p>
        </w:tc>
      </w:tr>
      <w:tr>
        <w:tc>
          <w:tcPr>
            <w:tcW w:type="dxa" w:w="4968"/>
          </w:tcPr>
          <w:p>
            <w:r>
              <w:t>Regional language variation and slang</w:t>
            </w:r>
          </w:p>
        </w:tc>
        <w:tc>
          <w:tcPr>
            <w:tcW w:type="dxa" w:w="4968"/>
          </w:tcPr>
          <w:p>
            <w:r>
              <w:t>Test with representative Tamil/English utterances; provide clarification choices and monitor misclassified intents.</w:t>
            </w:r>
          </w:p>
        </w:tc>
      </w:tr>
      <w:tr>
        <w:tc>
          <w:tcPr>
            <w:tcW w:type="dxa" w:w="4968"/>
          </w:tcPr>
          <w:p>
            <w:r>
              <w:t>Sensitive customer data</w:t>
            </w:r>
          </w:p>
        </w:tc>
        <w:tc>
          <w:tcPr>
            <w:tcW w:type="dxa" w:w="4968"/>
          </w:tcPr>
          <w:p>
            <w:r>
              <w:t>Minimize collection, mask logs, apply access controls, and perform security reviews.</w:t>
            </w:r>
          </w:p>
        </w:tc>
      </w:tr>
      <w:tr>
        <w:tc>
          <w:tcPr>
            <w:tcW w:type="dxa" w:w="4968"/>
          </w:tcPr>
          <w:p>
            <w:r>
              <w:t>Incorrect or overconfident AI responses</w:t>
            </w:r>
          </w:p>
        </w:tc>
        <w:tc>
          <w:tcPr>
            <w:tcW w:type="dxa" w:w="4968"/>
          </w:tcPr>
          <w:p>
            <w:r>
              <w:t>Ground account answers in verified API results; use approved FAQ content; never invent prices, balances, outage status, or transaction success.</w:t>
            </w:r>
          </w:p>
        </w:tc>
      </w:tr>
      <w:tr>
        <w:tc>
          <w:tcPr>
            <w:tcW w:type="dxa" w:w="4968"/>
          </w:tcPr>
          <w:p>
            <w:r>
              <w:t>Network instability and API latency</w:t>
            </w:r>
          </w:p>
        </w:tc>
        <w:tc>
          <w:tcPr>
            <w:tcW w:type="dxa" w:w="4968"/>
          </w:tcPr>
          <w:p>
            <w:r>
              <w:t>Set timeouts, retries for safe operations, circuit breakers, and graceful degradation.</w:t>
            </w:r>
          </w:p>
        </w:tc>
      </w:tr>
      <w:tr>
        <w:tc>
          <w:tcPr>
            <w:tcW w:type="dxa" w:w="4968"/>
          </w:tcPr>
          <w:p>
            <w:r>
              <w:t>Low customer trust</w:t>
            </w:r>
          </w:p>
        </w:tc>
        <w:tc>
          <w:tcPr>
            <w:tcW w:type="dxa" w:w="4968"/>
          </w:tcPr>
          <w:p>
            <w:r>
              <w:t>Explain actions before execution, show transaction/ticket references, and make human support easy to reach.</w:t>
            </w:r>
          </w:p>
        </w:tc>
      </w:tr>
    </w:tbl>
    <w:p>
      <w:pPr>
        <w:pStyle w:val="Heading1"/>
      </w:pPr>
      <w:r>
        <w:t>13. Testing and Success Measures</w:t>
      </w:r>
    </w:p>
    <w:p>
      <w:r>
        <w:t>Test the chatbot with normal, incomplete, ambiguous, misspelled, multilingual, unauthorized, and failure scenarios. Include API timeout tests, duplicate-recharge simulations, expired sessions, and handoff tests. Suggested measures include intent accuracy, successful task-completion rate, average response time, fallback rate, escalation rate, API error rate, and customer satisfaction. Review these measures regularly and use anonymized failure examples to improve dialogue design.</w:t>
      </w:r>
    </w:p>
    <w:p>
      <w:pPr>
        <w:pStyle w:val="Heading1"/>
      </w:pPr>
      <w:r>
        <w:t>14. Conclusion</w:t>
      </w:r>
    </w:p>
    <w:p>
      <w:r>
        <w:t>This architecture separates conversation management from telecom business systems, uses secure APIs for authoritative account data, and adds verification, validation, monitoring, and safe recovery paths. The proposed conversation flows cover frequent customer needs while preventing the chatbot from guessing when systems fail. Multilingual support, context-aware troubleshooting, and useful human handoff make the design suitable as a foundation for a practical telecom AI chatbot. The implementation should be validated with the telecom provider’s real API contracts, security requirements, and customer-support policies before production use.</w:t>
      </w:r>
    </w:p>
    <w:p>
      <w:pPr>
        <w:pStyle w:val="Heading1"/>
      </w:pPr>
      <w:r>
        <w:t>Appendix A: Compact Conversation Tree</w:t>
      </w:r>
    </w:p>
    <w:p>
      <w:r>
        <w:rPr>
          <w:rFonts w:ascii="Consolas" w:hAnsi="Consolas"/>
          <w:sz w:val="18"/>
        </w:rPr>
        <w:t>START → Receive message → Detect intent and entities → Is confidence sufficient?\nNO → Ask clarification → Still unclear after retry? → Offer human agent\nYES → Does action need customer-specific data?\nYES → Verify session/identity → Verification successful? NO → Recovery / agent\nYES → Validate input → Call approved backend API → API result received?\nNO → Safe retry/status check if appropriate → Explain temporary issue / ticket / agent\nYES → Apply policy checks → Format grounded response → Ask confirmation for high-impact action → Respond → Log minimal metrics → END</w:t>
      </w:r>
    </w:p>
    <w:p/>
    <w:p>
      <w:pPr>
        <w:jc w:val="center"/>
      </w:pPr>
      <w:r>
        <w:rPr>
          <w:i/>
          <w:color w:val="646464"/>
        </w:rPr>
        <w:t>End of Document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