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tbl>
      <w:tblPr>
        <w:tblStyle w:val="Table1"/>
        <w:tblW w:w="889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525"/>
        <w:gridCol w:w="3525"/>
        <w:tblGridChange w:id="0">
          <w:tblGrid>
            <w:gridCol w:w="900"/>
            <w:gridCol w:w="945"/>
            <w:gridCol w:w="3525"/>
            <w:gridCol w:w="3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Least Privilege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At present, every staff member has the ability to access customer data; it's imperative to restrict these privileges to mitigate the risk of a breach..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Currently, there are no established disaster recovery plans. It is essential to enact these plans to guarantee uninterrupted business operations.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employee password requirements are minimal, posing a risk that threat actors could potentially exploit to gain easier access to secure data or other assets through employee work equipment or the internal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Implementation is necessary to diminish the risk of fraud or unauthorized access to critical data. This is especially crucial as the company CEO currently oversees day-to-day operations and manages payroll.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current firewall effectively blocks traffic according to a well-defined set of security 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an IDS </w:t>
            </w:r>
            <w:r w:rsidDel="00000000" w:rsidR="00000000" w:rsidRPr="00000000">
              <w:rPr>
                <w:rFonts w:ascii="Roboto" w:cs="Roboto" w:eastAsia="Roboto" w:hAnsi="Roboto"/>
                <w:i w:val="1"/>
                <w:color w:val="0d0d0d"/>
                <w:sz w:val="24"/>
                <w:szCs w:val="24"/>
                <w:highlight w:val="white"/>
                <w:rtl w:val="0"/>
              </w:rPr>
              <w:t xml:space="preserve">to aid in the detection of potential intrusions by threat actors.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must establish backups of critical data to safeguard against breaches and ensure uninterrupted business operations.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Antivirus software is installed and consistently monitored by the IT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asset inventory identifies the utilization of legacy systems. The risk assessment highlights that while these systems are monitored and maintained, there is no established regular schedule for these tasks, and procedures/policies concerning intervention are unclear. This lack of clarity could potentially jeopardize the security of these systems and increase the risk of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rtl w:val="0"/>
              </w:rPr>
              <w:t xml:space="preserve">Encryption is presently not utilized. Its implementation would significantly enhance the confidentiality of sensitive information</w:t>
            </w:r>
            <w:r w:rsidDel="00000000" w:rsidR="00000000" w:rsidRPr="00000000">
              <w:rPr>
                <w:rFonts w:ascii="Google Sans" w:cs="Google Sans" w:eastAsia="Google Sans" w:hAnsi="Google Sans"/>
                <w:i w:val="1"/>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 password management system is not currently in use. Introducing this control would enhance productivity for the IT department and other employees, particularly in addressing password-related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Adequate locks are installed throughout the store's physical location, encompassing the main offices, storefront, and product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CCTV is installed/functioning at the store’s physical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Botium Toys’ physical location has a functioning fire detection and prevention system.</w:t>
            </w:r>
          </w:p>
        </w:tc>
      </w:tr>
    </w:tbl>
    <w:p w:rsidR="00000000" w:rsidDel="00000000" w:rsidP="00000000" w:rsidRDefault="00000000" w:rsidRPr="00000000" w14:paraId="0000004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A">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 checklist</w:t>
      </w:r>
    </w:p>
    <w:p w:rsidR="00000000" w:rsidDel="00000000" w:rsidP="00000000" w:rsidRDefault="00000000" w:rsidRPr="00000000" w14:paraId="0000004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C">
      <w:pPr>
        <w:rPr>
          <w:rFonts w:ascii="Google Sans" w:cs="Google Sans" w:eastAsia="Google Sans" w:hAnsi="Google Sans"/>
          <w:b w:val="1"/>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r w:rsidDel="00000000" w:rsidR="00000000" w:rsidRPr="00000000">
        <w:rPr>
          <w:rtl w:val="0"/>
        </w:rPr>
      </w:r>
    </w:p>
    <w:p w:rsidR="00000000" w:rsidDel="00000000" w:rsidP="00000000" w:rsidRDefault="00000000" w:rsidRPr="00000000" w14:paraId="0000004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E">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4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80"/>
        <w:gridCol w:w="915"/>
        <w:gridCol w:w="3750"/>
        <w:gridCol w:w="3900"/>
        <w:tblGridChange w:id="0">
          <w:tblGrid>
            <w:gridCol w:w="780"/>
            <w:gridCol w:w="915"/>
            <w:gridCol w:w="3750"/>
            <w:gridCol w:w="3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Currently, all employees have access to the company’s internal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accepted, processed, transmitted, and stored internally, in a secure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Credit card information remains unencrypted, and all employees currently possess access to internal data, including customers' credit card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Password policies are basic, and there is no existing password management system implemented.</w:t>
            </w:r>
          </w:p>
        </w:tc>
      </w:tr>
    </w:tbl>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5">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4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615"/>
        <w:gridCol w:w="4020"/>
        <w:tblGridChange w:id="0">
          <w:tblGrid>
            <w:gridCol w:w="900"/>
            <w:gridCol w:w="945"/>
            <w:gridCol w:w="3615"/>
            <w:gridCol w:w="4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company currently does not utilize encryption to enhance the confidentiality of customers' financial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a plan to notify E.U. customers within 72 hours of a data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current assets have been inventoried and listed, but they have not been classified.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Privacy policies, procedures, and processes have been established and enforced among IT team members and other employees, as required..</w:t>
            </w:r>
          </w:p>
        </w:tc>
      </w:tr>
    </w:tbl>
    <w:p w:rsidR="00000000" w:rsidDel="00000000" w:rsidP="00000000" w:rsidRDefault="00000000" w:rsidRPr="00000000" w14:paraId="0000007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C">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13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3795"/>
        <w:gridCol w:w="3495"/>
        <w:tblGridChange w:id="0">
          <w:tblGrid>
            <w:gridCol w:w="930"/>
            <w:gridCol w:w="915"/>
            <w:gridCol w:w="379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principles of Least Privilege and separation of duties are absent, as all employees currently possess access to internally stored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to better ensure the confidentiality of PII/SPII.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Data integrity is in 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While data is available to all employees, authorization needs to be limited to only the individuals who need access to it to do their jobs.</w:t>
            </w:r>
          </w:p>
        </w:tc>
      </w:tr>
    </w:tbl>
    <w:p w:rsidR="00000000" w:rsidDel="00000000" w:rsidP="00000000" w:rsidRDefault="00000000" w:rsidRPr="00000000" w14:paraId="00000091">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2">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spacing w:after="20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tl w:val="0"/>
        </w:rPr>
      </w:r>
    </w:p>
    <w:p w:rsidR="00000000" w:rsidDel="00000000" w:rsidP="00000000" w:rsidRDefault="00000000" w:rsidRPr="00000000" w14:paraId="0000009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To enhance Botium Toys' security posture and ensure the confidentiality of sensitive information, a comprehensive set of controls needs to be implemented. These include Least Privilege, disaster recovery plans, robust password policies, separation of duties, an Intrusion Detection System (IDS), ongoing management of legacy systems, encryption, and a password management system.</w:t>
      </w:r>
    </w:p>
    <w:p w:rsidR="00000000" w:rsidDel="00000000" w:rsidP="00000000" w:rsidRDefault="00000000" w:rsidRPr="00000000" w14:paraId="00000095">
      <w:pPr>
        <w:rPr>
          <w:rFonts w:ascii="Google Sans" w:cs="Google Sans" w:eastAsia="Google Sans" w:hAnsi="Google Sans"/>
          <w:i w:val="1"/>
          <w:sz w:val="24"/>
          <w:szCs w:val="24"/>
        </w:rPr>
      </w:pPr>
      <w:r w:rsidDel="00000000" w:rsidR="00000000" w:rsidRPr="00000000">
        <w:rPr>
          <w:rtl w:val="0"/>
        </w:rPr>
      </w:r>
    </w:p>
    <w:p w:rsidR="00000000" w:rsidDel="00000000" w:rsidP="00000000" w:rsidRDefault="00000000" w:rsidRPr="00000000" w14:paraId="00000096">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To bridge compliance gaps, Botium Toys should prioritize the implementation of controls such as Least Privilege, separation of duties, and encryption. Additionally, properly classifying assets will aid in identifying additional controls necessary to bolster their security posture and safeguard sensitive information.</w:t>
      </w:r>
    </w:p>
    <w:p w:rsidR="00000000" w:rsidDel="00000000" w:rsidP="00000000" w:rsidRDefault="00000000" w:rsidRPr="00000000" w14:paraId="0000009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