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Robotics MSE</w:t>
      </w:r>
    </w:p>
    <w:p>
      <w:pPr>
        <w:spacing w:after="240"/>
      </w:pPr>
      <w:r>
        <w:rPr>
          <w:b/>
          <w:bCs/>
          <w:sz w:val="28"/>
          <w:szCs w:val="28"/>
        </w:rPr>
        <w:t xml:space="preserve">Research Course Agreement Form</w:t>
      </w:r>
    </w:p>
    <w:p>
      <w:pPr>
        <w:spacing w:after="120" w:line="264" w:lineRule="auto"/>
      </w:pPr>
      <w:r>
        <w:rPr>
          <w:b/>
          <w:bCs/>
        </w:rPr>
        <w:t xml:space="preserve">Student Name: </w:t>
      </w:r>
      <w:r>
        <w:t xml:space="preserve">BRUNO BEIJUKA</w:t>
      </w:r>
    </w:p>
    <w:p>
      <w:pPr>
        <w:spacing w:after="120" w:line="264" w:lineRule="auto"/>
      </w:pPr>
      <w:r>
        <w:rPr>
          <w:b/>
          <w:bCs/>
        </w:rPr>
        <w:t xml:space="preserve">Makerere University: Bruno Beijuka</w:t>
      </w:r>
    </w:p>
    <w:p>
      <w:pPr>
        <w:spacing w:after="120" w:line="264" w:lineRule="auto"/>
      </w:pPr>
      <w:r>
        <w:rPr>
          <w:b/>
          <w:bCs/>
        </w:rPr>
        <w:t xml:space="preserve">Project Sponsor: </w:t>
      </w:r>
      <w:r>
        <w:t xml:space="preserve">Dr. Tonny Okecha, Uganda Cancer Institute, Pathology</w:t>
      </w:r>
    </w:p>
    <w:p>
      <w:pPr>
        <w:spacing w:after="120" w:line="264" w:lineRule="auto"/>
      </w:pPr>
      <w:r>
        <w:rPr>
          <w:b/>
          <w:bCs/>
        </w:rPr>
        <w:t xml:space="preserve">Clinical Lead Investigator: </w:t>
      </w:r>
      <w:r>
        <w:t xml:space="preserve">Dr. Samuel Kalungi, Mulago National Referral Hospital, Department of Pathology</w:t>
      </w:r>
    </w:p>
    <w:p>
      <w:pPr>
        <w:spacing w:after="120" w:line="264" w:lineRule="auto"/>
      </w:pPr>
      <w:r>
        <w:rPr>
          <w:b/>
          <w:bCs/>
        </w:rPr>
        <w:t xml:space="preserve">Makerere University College of Engineering, Design, Art &amp; Technology: Dr Andrew Katumba</w:t>
      </w:r>
    </w:p>
    <w:p>
      <w:pPr>
        <w:spacing w:after="120" w:line="264" w:lineRule="auto"/>
      </w:pPr>
      <w:r>
        <w:rPr>
          <w:b/>
          <w:bCs/>
        </w:rPr>
        <w:t xml:space="preserve">Biomedical Engineering Lead Investigator &amp; Research Advisor: </w:t>
      </w:r>
      <w:r>
        <w:t xml:space="preserve">Dr. Samson Jarso, Johns Hopkins University, Department of Biomedical Engineering</w:t>
      </w:r>
    </w:p>
    <w:p>
      <w:pPr>
        <w:spacing w:after="120" w:line="264" w:lineRule="auto"/>
      </w:pPr>
      <w:r>
        <w:rPr>
          <w:b/>
          <w:bCs/>
        </w:rPr>
        <w:t xml:space="preserve">Project Consultant: </w:t>
      </w:r>
      <w:r>
        <w:t xml:space="preserve">Dr. Raymond Atwine, UCI Mbarara Referral Hospital, Pathology</w:t>
      </w:r>
    </w:p>
    <w:p>
      <w:pPr>
        <w:spacing w:after="120" w:line="264" w:lineRule="auto"/>
      </w:pPr>
      <w:r>
        <w:rPr>
          <w:b/>
          <w:bCs/>
        </w:rPr>
        <w:t xml:space="preserve">Project Title: </w:t>
      </w:r>
      <w:r>
        <w:t xml:space="preserve">Computer Vision and Machine Learning for Automated Breast-Biopsy Assessment — Semester 3: Malignancy-Suspicion Triage from Targeted High-Resolution Tiles, with Cross-Instrument Validation</w:t>
      </w:r>
    </w:p>
    <w:p>
      <w:pPr>
        <w:pStyle w:val="Heading1"/>
        <w:spacing w:after="120" w:before="240"/>
      </w:pPr>
      <w:r>
        <w:rPr>
          <w:b/>
          <w:bCs/>
          <w:sz w:val="28"/>
          <w:szCs w:val="28"/>
        </w:rPr>
        <w:t xml:space="preserve">Project Description</w:t>
      </w:r>
    </w:p>
    <w:p>
      <w:pPr>
        <w:spacing w:after="120" w:line="264" w:lineRule="auto"/>
      </w:pPr>
      <w:r>
        <w:t xml:space="preserve">This is the third of three sequential semesters. Semesters 1 and 2 produced an adequacy classifier built in a canonical image space spanning several instruments, validated against the pathologist reference standard, measured leave-one-instrument-out, characterized along its generalization envelope, and integrated behind a stable inference interface with a documented new-instrument onboarding protocol. The system now decides whether a slide is readable and where to look — on hardware it has never seen — but it says nothing about what the tissue shows. Every adequate slide therefore reaches the remote pathologist with equal urgency, and in a setting where consultant reading time is the scarcest resource, ordering that queue is the next tractable bottleneck.</w:t>
      </w:r>
    </w:p>
    <w:p>
      <w:pPr>
        <w:spacing w:after="120" w:line="264" w:lineRule="auto"/>
      </w:pPr>
      <w:r>
        <w:t xml:space="preserve">Semester 3 upgrades the region-of-interest suspicion score from adequacy-driven to diagnosis-informed — and holds the new score to the same translatability standard as everything before it. Working entirely on supplied digitized images (the student performs no microscope operation and renders no clinical diagnosis), the semester first assembles the diagnostic dataset: slide-level B-category labels extracted from the archived clinical pathology reports that accompany the tissue-bank slides. Because the labels attach to the physical glass, the paired multi-instrument acquisitions inherit them at no annotation cost. A class-count audit decides — before any modeling — whether the semester validates a binary malignant-versus-benign triage flag or can reach toward the three-way benign / atypical / malignant call. The scope follows the data, not the ambition.</w:t>
      </w:r>
    </w:p>
    <w:p>
      <w:pPr>
        <w:spacing w:after="120" w:line="264" w:lineRule="auto"/>
      </w:pPr>
      <w:r>
        <w:t xml:space="preserve">A slide-level malignancy-suspicion model is then trained on the targeted high-resolution tiles in canonical space, using multiple-instance learning — the labels are slide-level, but the evidence is tile-level — with the tile encoder chosen by experiment between the Semester 2 carry-forward backbone and a pathology foundation-model encoder. It is validated against the recorded clinical diagnoses with the full Semester 1 discipline — sensitivity-dominant targets, bootstrap confidence intervals, calibration — reported overall, per instrument, and leave-one-instrument-out on the paired subset. The semester’s distinctive validation act is attention anchoring: measuring whether the tiles the model ranks highest are the tiles pathologists actually use, against pathologist-marked diagnostic regions — and whether that attention stays on the same tissue when the same slide is imaged on a different instrument.</w:t>
      </w:r>
    </w:p>
    <w:p>
      <w:pPr>
        <w:spacing w:after="120" w:line="264" w:lineRule="auto"/>
      </w:pPr>
      <w:r>
        <w:t xml:space="preserve">By the end, Semester 3 produces a validated malignancy-suspicion triage score folded into the existing ROI ranking and output packages, so the ranked tile set a remote pathologist receives is ordered by diagnostic promise, not just adequacy — on any calibrated instrument. The score prioritizes; the diagnosis remains the pathologist’s. Nottingham grading, mitotic counting, and histological subtype classification are explicitly beyond scope and belong to a later phase. The adequacy classifier, canonical space, envelope, and inference interface are inherited from Semesters 1 and 2.</w:t>
      </w:r>
    </w:p>
    <w:p>
      <w:pPr>
        <w:pStyle w:val="Heading1"/>
        <w:spacing w:after="120" w:before="240"/>
      </w:pPr>
      <w:r>
        <w:rPr>
          <w:b/>
          <w:bCs/>
          <w:sz w:val="28"/>
          <w:szCs w:val="28"/>
        </w:rPr>
        <w:t xml:space="preserve">Project Learning Objectives</w:t>
      </w:r>
    </w:p>
    <w:p>
      <w:pPr>
        <w:spacing w:after="120" w:line="264" w:lineRule="auto"/>
      </w:pPr>
      <w:r>
        <w:t xml:space="preserve">These learning objectives apply across all three interim deliverables and the final report. Each deliverable provides evidence toward several of them; together, the four deliverables show that all have been met.</w:t>
      </w:r>
    </w:p>
    <w:p>
      <w:pPr>
        <w:pStyle w:val="ListParagraph"/>
        <w:numPr>
          <w:ilvl w:val="0"/>
          <w:numId w:val="2"/>
        </w:numPr>
        <w:spacing w:after="100" w:line="264" w:lineRule="auto"/>
      </w:pPr>
      <w:r>
        <w:rPr>
          <w:b/>
          <w:bCs/>
        </w:rPr>
        <w:t xml:space="preserve">Weakly supervised learning</w:t>
      </w:r>
      <w:r>
        <w:t xml:space="preserve"> — train tile-based models from slide-level labels using multiple-instance learning and attention-based aggregation, treating the label–evidence mismatch as the central design problem.</w:t>
      </w:r>
    </w:p>
    <w:p>
      <w:pPr>
        <w:pStyle w:val="ListParagraph"/>
        <w:numPr>
          <w:ilvl w:val="0"/>
          <w:numId w:val="2"/>
        </w:numPr>
        <w:spacing w:after="100" w:line="264" w:lineRule="auto"/>
      </w:pPr>
      <w:r>
        <w:rPr>
          <w:b/>
          <w:bCs/>
        </w:rPr>
        <w:t xml:space="preserve">Clinical label curation</w:t>
      </w:r>
      <w:r>
        <w:t xml:space="preserve"> — extract, structure, and audit diagnostic labels from archived clinical pathology reports, with an honest account of label provenance and label noise.</w:t>
      </w:r>
    </w:p>
    <w:p>
      <w:pPr>
        <w:pStyle w:val="ListParagraph"/>
        <w:numPr>
          <w:ilvl w:val="0"/>
          <w:numId w:val="2"/>
        </w:numPr>
        <w:spacing w:after="100" w:line="264" w:lineRule="auto"/>
      </w:pPr>
      <w:r>
        <w:rPr>
          <w:b/>
          <w:bCs/>
        </w:rPr>
        <w:t xml:space="preserve">Encoder selection for cross-instrument robustness</w:t>
      </w:r>
      <w:r>
        <w:t xml:space="preserve"> — compare the project’s domain-adapted backbone against a pathology foundation-model encoder, deciding by measured LOIO triage performance.</w:t>
      </w:r>
    </w:p>
    <w:p>
      <w:pPr>
        <w:pStyle w:val="ListParagraph"/>
        <w:numPr>
          <w:ilvl w:val="0"/>
          <w:numId w:val="2"/>
        </w:numPr>
        <w:spacing w:after="100" w:line="264" w:lineRule="auto"/>
      </w:pPr>
      <w:r>
        <w:rPr>
          <w:b/>
          <w:bCs/>
        </w:rPr>
        <w:t xml:space="preserve">Diagnostic-accuracy evaluation under class imbalance and distribution shift</w:t>
      </w:r>
      <w:r>
        <w:t xml:space="preserve"> — report sensitivity-dominant performance with bootstrap confidence intervals, calibration, and per-instrument and leave-one-instrument-out breakdowns.</w:t>
      </w:r>
    </w:p>
    <w:p>
      <w:pPr>
        <w:pStyle w:val="ListParagraph"/>
        <w:numPr>
          <w:ilvl w:val="0"/>
          <w:numId w:val="2"/>
        </w:numPr>
        <w:spacing w:after="100" w:line="264" w:lineRule="auto"/>
      </w:pPr>
      <w:r>
        <w:rPr>
          <w:b/>
          <w:bCs/>
        </w:rPr>
        <w:t xml:space="preserve">Interpretability and attention validation</w:t>
      </w:r>
      <w:r>
        <w:t xml:space="preserve"> — measure the agreement between model attention and pathologist-marked diagnostic regions, and the stability of that attention across instruments imaging the same slide.</w:t>
      </w:r>
    </w:p>
    <w:p>
      <w:pPr>
        <w:pStyle w:val="ListParagraph"/>
        <w:numPr>
          <w:ilvl w:val="0"/>
          <w:numId w:val="2"/>
        </w:numPr>
        <w:spacing w:after="100" w:line="264" w:lineRule="auto"/>
      </w:pPr>
      <w:r>
        <w:rPr>
          <w:b/>
          <w:bCs/>
        </w:rPr>
        <w:t xml:space="preserve">Machine-learning systems integration</w:t>
      </w:r>
      <w:r>
        <w:t xml:space="preserve"> — extend an existing inference API and output schema with the suspicion score without breaking the downstream consumers or the onboarding protocol built in Semester 2.</w:t>
      </w:r>
    </w:p>
    <w:p>
      <w:pPr>
        <w:pStyle w:val="ListParagraph"/>
        <w:numPr>
          <w:ilvl w:val="0"/>
          <w:numId w:val="2"/>
        </w:numPr>
        <w:spacing w:after="100" w:line="264" w:lineRule="auto"/>
      </w:pPr>
      <w:r>
        <w:rPr>
          <w:b/>
          <w:bCs/>
        </w:rPr>
        <w:t xml:space="preserve">Reporting-standard compliance and scientific communication</w:t>
      </w:r>
      <w:r>
        <w:t xml:space="preserve"> — report the triage model against TRIPOD-AI and STARD, state the claim ceiling explicitly (triage, not diagnosis), and argue the contribution to a technical reader.</w:t>
      </w:r>
    </w:p>
    <w:p>
      <w:pPr>
        <w:pStyle w:val="Heading1"/>
        <w:spacing w:after="120" w:before="240"/>
      </w:pPr>
      <w:r>
        <w:rPr>
          <w:b/>
          <w:bCs/>
          <w:sz w:val="28"/>
          <w:szCs w:val="28"/>
        </w:rPr>
        <w:t xml:space="preserve">Design Approach: Triage Validation Anchored to Diagnostic Attention — and Held to the Instrument Standard</w:t>
      </w:r>
    </w:p>
    <w:p>
      <w:pPr>
        <w:spacing w:after="120" w:line="264" w:lineRule="auto"/>
      </w:pPr>
      <w:r>
        <w:t xml:space="preserve">A suspicion score is useful only if it orders cases the way the recorded outcomes justify, trustworthy only if it looks where the diagnosis actually lives, and deployable only if both properties survive a change of microscope. Semester 3 is organized around all three: the recorded clinical diagnosis is the reference standard for the ranking, pathologist-marked diagnostic regions are the reference standard for the attention, and the paired multi-instrument acquisitions are the test bench for translatability.</w:t>
      </w:r>
    </w:p>
    <w:p>
      <w:pPr>
        <w:spacing w:after="120" w:line="264" w:lineRule="auto"/>
      </w:pPr>
      <w:r>
        <w:rPr>
          <w:b/>
          <w:bCs/>
        </w:rPr>
        <w:t xml:space="preserve">The reference standard (recorded diagnoses). </w:t>
      </w:r>
      <w:r>
        <w:t xml:space="preserve">Slide-level B-category labels are extracted from the clinical pathology reports that accompany the archived tissue-bank slides — historical diagnoses made on the original glass under conventional microscopy. Their provenance is documented, a sample is re-reviewed to estimate label noise, and the class counts are audited before any model is trained. The audit is a gate: the archive’s malignant and atypical counts decide whether the semester’s claim is a binary triage flag (very likely feasible) or the three-way call (only if the B3/B4 numbers cooperate). Because labels attach to the glass, every instrument’s images of a slide share its label.</w:t>
      </w:r>
    </w:p>
    <w:p>
      <w:pPr>
        <w:spacing w:after="120" w:line="264" w:lineRule="auto"/>
      </w:pPr>
      <w:r>
        <w:rPr>
          <w:b/>
          <w:bCs/>
        </w:rPr>
        <w:t xml:space="preserve">Performance budget (the targets). </w:t>
      </w:r>
      <w:r>
        <w:t xml:space="preserve">Slide-level sensitivity ≥ 0.95 for malignancy detection, specificity ≥ 0.80, and AUROC ≥ 0.90 against the recorded diagnoses — reported overall, per instrument, and leave-one-instrument-out on the paired subset; attention concordance with a top-ranked-tile hit rate ≥ 0.80 against pathologist-marked regions. Sensitivity dominates because the costly error is ranking a malignant slide as routine — the error that delays a cancer diagnosis. Each target is justified in the deliverable where it is used.</w:t>
      </w:r>
    </w:p>
    <w:p>
      <w:pPr>
        <w:spacing w:after="120" w:line="264" w:lineRule="auto"/>
      </w:pPr>
      <w:r>
        <w:rPr>
          <w:b/>
          <w:bCs/>
        </w:rPr>
        <w:t xml:space="preserve">Weak labels, tile evidence. </w:t>
      </w:r>
      <w:r>
        <w:t xml:space="preserve">The labels are slide-level but the evidence is tile-level, so the model is built as attention-based multiple-instance learning over the targeted high-resolution tiles in canonical space: a tile encoder produces embeddings, an attention mechanism aggregates them into a slide score, and the attention weights fall out as a per-tile ranking. The encoder is chosen by experiment — the Semester 2 carry-forward backbone versus a pathology foundation-model encoder pretrained on massive multi-scanner corpora — decided by LOIO triage performance, the same standard as Semester 2’s architecture decision.</w:t>
      </w:r>
    </w:p>
    <w:p>
      <w:pPr>
        <w:spacing w:after="120" w:line="264" w:lineRule="auto"/>
      </w:pPr>
      <w:r>
        <w:rPr>
          <w:b/>
          <w:bCs/>
        </w:rPr>
        <w:t xml:space="preserve">Attention anchoring (the distinctive check). </w:t>
      </w:r>
      <w:r>
        <w:t xml:space="preserve">A black-box AUROC is not enough for a triage tool whose job is to direct expert attention. On a validation subset, pathologists mark the regions they actually used to make the call, and the semester measures how often the model’s top-ranked tiles land in those regions. The paired acquisitions add a second, instrument-level check: when the same slide is imaged on two instruments, the model’s attention should land on the same tissue — attention stability across instruments is measured and reported.</w:t>
      </w:r>
    </w:p>
    <w:p>
      <w:pPr>
        <w:spacing w:after="120" w:line="264" w:lineRule="auto"/>
      </w:pPr>
      <w:r>
        <w:rPr>
          <w:b/>
          <w:bCs/>
        </w:rPr>
        <w:t xml:space="preserve">Honest accounting. </w:t>
      </w:r>
      <w:r>
        <w:t xml:space="preserve">Every number is reported on a locked held-out test set stratified by site and instrument, with bootstrap confidence intervals, prevalence stated, calibration checked, and no leakage — no physical slide crossing splits via different instruments — following TRIPOD-AI and STARD. The claim ceiling is stated in the report itself: the system ranks slides and regions for expert review; it does not diagnose.</w:t>
      </w:r>
    </w:p>
    <w:p>
      <w:pPr>
        <w:spacing w:after="120" w:line="264" w:lineRule="auto"/>
      </w:pPr>
      <w:r>
        <w:rPr>
          <w:b/>
          <w:bCs/>
        </w:rPr>
        <w:t xml:space="preserve">How the approach runs through the deliverables. </w:t>
      </w:r>
      <w:r>
        <w:t xml:space="preserve">S3-ID-1 assembles the labeled dataset, audits the class counts, and fixes the claim scope with a transfer baseline and the encoder comparison; S3-ID-2 builds the multiple-instance suspicion model and validates it against the recorded diagnoses, per instrument and LOIO; S3-ID-3 anchors the attention against pathologist-marked regions, checks its cross-instrument stability, and integrates the score into the ROI ranking and output packages. The final report ties these into one triage story.</w:t>
      </w:r>
    </w:p>
    <w:p>
      <w:pPr>
        <w:spacing w:after="120" w:line="264" w:lineRule="auto"/>
      </w:pPr>
      <w:r>
        <w:rPr>
          <w:b/>
          <w:bCs/>
        </w:rPr>
        <w:t xml:space="preserve">Semester thesis. </w:t>
      </w:r>
      <w:r>
        <w:rPr>
          <w:i/>
          <w:iCs/>
        </w:rPr>
        <w:t xml:space="preserve">Because the definitive diagnosis remains the pathologist’s, Semester 3 measures how reliably a malignancy-suspicion score computed from targeted high-resolution tiles ranks slides and regions for expert review — on any calibrated instrument — and validates that the model’s attention agrees with where pathologists actually look, and stays on the same tissue when the microscope changes.</w:t>
      </w:r>
    </w:p>
    <w:p>
      <w:pPr>
        <w:pStyle w:val="Heading1"/>
        <w:spacing w:after="120" w:before="240"/>
      </w:pPr>
      <w:r>
        <w:rPr>
          <w:b/>
          <w:bCs/>
          <w:sz w:val="28"/>
          <w:szCs w:val="28"/>
        </w:rPr>
        <w:t xml:space="preserve">Project Deliverables</w:t>
      </w:r>
    </w:p>
    <w:p>
      <w:pPr>
        <w:spacing w:after="120" w:line="264" w:lineRule="auto"/>
      </w:pPr>
      <w:r>
        <w:t xml:space="preserve">Semester 3 has three interim deliverables and a final report. The interim deliverables follow the label-model-anchor workflow: assemble and audit the diagnostic dataset and set the claim scope, build and validate the suspicion model against the recorded diagnoses across instruments, then anchor its attention against pathologist-marked regions and integrate it into the deployed pipeline. The final report ties the three together into one triage story and covers the dataset-label release.</w:t>
      </w:r>
    </w:p>
    <w:p>
      <w:pPr>
        <w:pStyle w:val="Heading2"/>
        <w:spacing w:after="100" w:before="180"/>
      </w:pPr>
      <w:r>
        <w:rPr>
          <w:b/>
          <w:bCs/>
          <w:sz w:val="26"/>
          <w:szCs w:val="26"/>
        </w:rPr>
        <w:t xml:space="preserve">Interim Deliverable 1 (S3-ID-1): Diagnostic Dataset, Label Extraction, and Encoder Baseline</w:t>
      </w:r>
    </w:p>
    <w:p>
      <w:pPr>
        <w:spacing w:after="120" w:line="264" w:lineRule="auto"/>
      </w:pPr>
      <w:r>
        <w:t xml:space="preserve">S3-ID-1 builds the thing every diagnostic ML project is limited by — the labeled dataset — and lets the data fix the semester’s scope. Because the slides come from a tissue-bank archive, every slide already has a clinical diagnosis on record, and because labels attach to the glass, the paired multi-instrument acquisitions inherit them for free. This deliverable turns the reports into structured, audited labels and establishes the encoder baseline the suspicion model builds on.</w:t>
      </w:r>
    </w:p>
    <w:p>
      <w:pPr>
        <w:spacing w:after="120" w:line="264" w:lineRule="auto"/>
      </w:pPr>
      <w:r>
        <w:rPr>
          <w:b/>
          <w:bCs/>
        </w:rPr>
        <w:t xml:space="preserve">Tasks. </w:t>
      </w:r>
      <w:r>
        <w:t xml:space="preserve">Confirm the ethics amendment covering diagnostic use of the archived reports. Extract slide-level B-category labels from the clinical pathology reports and join them to the imaged slides — across all instruments — in a structured metadata table. Audit the class counts and, with the research advisor, record the scope decision: binary malignant-versus-benign triage or the three-way call. Estimate label noise by blinded pathologist re-review of a sample of cases. Curate the targeted high-resolution tile set for the labeled slides in canonical space, quality-controlled with the Semester 1 adequacy modules. Lock the site- and instrument-stratified diagnostic split, with no physical slide crossing splits. Complete a literature review covering multiple-instance learning, weak supervision, and pathology foundation models. Establish the encoder baseline: tile embeddings from the Semester 2 carry-forward backbone versus a pathology foundation-model encoder, each aggregated by simple pooling into a slide score.</w:t>
      </w:r>
    </w:p>
    <w:p>
      <w:pPr>
        <w:spacing w:after="120" w:line="264" w:lineRule="auto"/>
      </w:pPr>
      <w:r>
        <w:rPr>
          <w:b/>
          <w:bCs/>
        </w:rPr>
        <w:t xml:space="preserve">Deliverable. </w:t>
      </w:r>
      <w:r>
        <w:rPr>
          <w:i/>
          <w:iCs/>
        </w:rPr>
        <w:t xml:space="preserve">A report (PDF) documenting the label-extraction pipeline, the class-count audit and recorded scope decision, the label-noise estimate, the locked split, and the encoder baseline, together with the extraction code, the dataset metadata table, and the baseline results — all committed to the project repository. </w:t>
      </w:r>
      <w:r>
        <w:t xml:space="preserve">At the Minimum endpoint, the report covers the extracted and audited labels, the recorded scope decision, and the locked split. At the Target endpoint, it adds the curated, adequacy-QC’d canonical-space tile set and the two-encoder baseline with confidence intervals. At the Maximum endpoint, it adds the blinded re-review label-noise estimate and a per-instrument breakdown of the baseline.</w:t>
      </w:r>
    </w:p>
    <w:p>
      <w:pPr>
        <w:pStyle w:val="Heading2"/>
        <w:spacing w:after="100" w:before="180"/>
      </w:pPr>
      <w:r>
        <w:rPr>
          <w:b/>
          <w:bCs/>
          <w:sz w:val="26"/>
          <w:szCs w:val="26"/>
        </w:rPr>
        <w:t xml:space="preserve">Interim Deliverable 2 (S3-ID-2): Multiple-Instance Suspicion Model and Cross-Instrument Reference Validation</w:t>
      </w:r>
    </w:p>
    <w:p>
      <w:pPr>
        <w:spacing w:after="120" w:line="264" w:lineRule="auto"/>
      </w:pPr>
      <w:r>
        <w:t xml:space="preserve">S3-ID-2 is the modeling heart of the semester. It builds the attention-based multiple-instance model that turns tile evidence into a slide-level suspicion score, and validates that score against the recorded clinical diagnoses — overall, per instrument, and leave-one-instrument-out.</w:t>
      </w:r>
    </w:p>
    <w:p>
      <w:pPr>
        <w:spacing w:after="120" w:line="264" w:lineRule="auto"/>
      </w:pPr>
      <w:r>
        <w:rPr>
          <w:b/>
          <w:bCs/>
        </w:rPr>
        <w:t xml:space="preserve">Tasks. </w:t>
      </w:r>
      <w:r>
        <w:t xml:space="preserve">Implement an attention-based multiple-instance learning model over the tile embeddings (slide-level score plus per-tile attention weights), using the better encoder from S3-ID-1. Train with explicit class-imbalance handling. Run an aggregation experiment comparing attention-based pooling against a top-k alternative. Validate on the locked held-out test set: sensitivity, specificity, and AUROC with bootstrap 95% confidence intervals against the recorded diagnoses — overall, per instrument, and LOIO on the paired subset — plus calibration analysis. Run a decision-threshold analysis tied to the clinical cost of a missed malignancy. If the S3-ID-1 scope decision allows, extend the analysis to the three-way call.</w:t>
      </w:r>
    </w:p>
    <w:p>
      <w:pPr>
        <w:spacing w:after="120" w:line="264" w:lineRule="auto"/>
      </w:pPr>
      <w:r>
        <w:rPr>
          <w:b/>
          <w:bCs/>
        </w:rPr>
        <w:t xml:space="preserve">Deliverable. </w:t>
      </w:r>
      <w:r>
        <w:rPr>
          <w:i/>
          <w:iCs/>
        </w:rPr>
        <w:t xml:space="preserve">A model report (PDF) documenting the architecture, training procedure, the overall, per-instrument, and LOIO performance tables, the calibration and threshold analyses, and the aggregation experiment, together with the training and inference code, the trained weights, and the experiment logs — all committed to the project repository. </w:t>
      </w:r>
      <w:r>
        <w:t xml:space="preserve">At the Minimum endpoint, the report covers a single trained multiple-instance model with sensitivity, specificity, and AUROC on the held-out set. At the Target endpoint, it adds bootstrap confidence intervals, calibration, the cost-based threshold analysis, the aggregation comparison, and the per-instrument breakdown. At the Maximum endpoint, it adds the LOIO triage validation on the paired subset, the three-way analysis (if the class counts allow), and a failure-case gallery organized by instrument.</w:t>
      </w:r>
    </w:p>
    <w:p>
      <w:pPr>
        <w:pStyle w:val="Heading2"/>
        <w:spacing w:after="100" w:before="180"/>
      </w:pPr>
      <w:r>
        <w:rPr>
          <w:b/>
          <w:bCs/>
          <w:sz w:val="26"/>
          <w:szCs w:val="26"/>
        </w:rPr>
        <w:t xml:space="preserve">Interim Deliverable 3 (S3-ID-3): Diagnostic-Attention Validation, Cross-Instrument Stability, and Triage Integration</w:t>
      </w:r>
    </w:p>
    <w:p>
      <w:pPr>
        <w:spacing w:after="120" w:line="264" w:lineRule="auto"/>
      </w:pPr>
      <w:r>
        <w:t xml:space="preserve">S3-ID-3 delivers the semester’s distinctive validation and its practical payoff. It measures whether the model’s attention agrees with where pathologists actually look, whether that attention stays on the same tissue when the instrument changes, and then folds the validated suspicion score into the ROI ranking and output packages built in Semester 2 — so the system’s ranked tile set becomes diagnosis-informed end to end, on any calibrated instrument.</w:t>
      </w:r>
    </w:p>
    <w:p>
      <w:pPr>
        <w:spacing w:after="120" w:line="264" w:lineRule="auto"/>
      </w:pPr>
      <w:r>
        <w:rPr>
          <w:b/>
          <w:bCs/>
        </w:rPr>
        <w:t xml:space="preserve">Tasks. </w:t>
      </w:r>
      <w:r>
        <w:t xml:space="preserve">Coordinate with the validation workstream to collect pathologist-marked diagnostic regions on a validation subset — the regions each pathologist actually used to make the call. Define and compute the attention-concordance metrics: top-ranked-tile hit rate and region-overlap against the marked regions, with confidence intervals. Compute attention stability across instruments: for paired acquisitions of the same slide, measure the overlap of the model’s top-ranked regions between instruments. Fold the suspicion score into the existing ROI ranking and inference API, extending the agreed output schema (adequacy flag, suspicion flag, re-ordered ranked tile set) without breaking the Semester 2 interface or onboarding protocol. Regenerate the automated output packages for the reading-study slide set with the diagnosis-informed ranking, and run an end-to-end demonstration on supplied acquired images.</w:t>
      </w:r>
    </w:p>
    <w:p>
      <w:pPr>
        <w:spacing w:after="120" w:line="264" w:lineRule="auto"/>
      </w:pPr>
      <w:r>
        <w:rPr>
          <w:b/>
          <w:bCs/>
        </w:rPr>
        <w:t xml:space="preserve">Deliverable. </w:t>
      </w:r>
      <w:r>
        <w:rPr>
          <w:i/>
          <w:iCs/>
        </w:rPr>
        <w:t xml:space="preserve">A report (PDF) documenting the attention-concordance protocol and results, the cross-instrument stability analysis, the schema extension, and the regenerated output packages, together with the concordance code and tables, the updated API code, and the regenerated packages — all committed to the project repository. </w:t>
      </w:r>
      <w:r>
        <w:t xml:space="preserve">At the Minimum endpoint, the report covers attention concordance on the validation subset and the suspicion score folded into the ROI ranking. At the Target endpoint, it adds the cross-instrument attention-stability analysis on the paired subset, regenerated packages for the full reading-study set with completeness quality control, and the hit-rate target evaluated with confidence intervals. At the Maximum endpoint, it adds a pathologist usefulness judgment on the re-ordered tile packages and the end-to-end demonstration run through the Semester 2 onboarding protocol on an instrument treated as new.</w:t>
      </w:r>
    </w:p>
    <w:p>
      <w:pPr>
        <w:pStyle w:val="Heading2"/>
        <w:spacing w:after="100" w:before="180"/>
      </w:pPr>
      <w:r>
        <w:rPr>
          <w:b/>
          <w:bCs/>
          <w:sz w:val="26"/>
          <w:szCs w:val="26"/>
        </w:rPr>
        <w:t xml:space="preserve">Final Report (Deliverable 4)</w:t>
      </w:r>
    </w:p>
    <w:p>
      <w:pPr>
        <w:spacing w:after="120" w:line="264" w:lineRule="auto"/>
      </w:pPr>
      <w:r>
        <w:t xml:space="preserve">The final report pulls the three interim deliverables together into a single triage story — the labels and their provenance, the suspicion model and its concordance with the recorded diagnoses across instruments, the attention anchoring that shows the model looks where pathologists look and keeps looking there when the microscope changes, and the integrated diagnosis-informed pipeline. It is not three reports stapled together; it argues one case from label extraction to a deployable, expert-anchored, instrument-portable ranking — and it states the claim ceiling plainly: the system ranks; the pathologist diagnoses.</w:t>
      </w:r>
    </w:p>
    <w:p>
      <w:pPr>
        <w:spacing w:after="120" w:line="264" w:lineRule="auto"/>
      </w:pPr>
      <w:r>
        <w:t xml:space="preserve">The report shows that the student can explain weakly supervised machine-learning work to a technical reader: claims backed by held-out evidence with proper uncertainty, an honest account of label noise, class-imbalance, and cross-instrument limits, and a complete archive (data splits, label tables, code, trained weights, updated inference API) that would let someone else reproduce every result. It documents compliance with TRIPOD-AI and STARD, extends the Zenodo multi-instrument dataset release with the structured diagnostic-label table (subject to the ethics amendment), and includes the draft triage manuscript. The final report is required at all three project endpoints.</w:t>
      </w:r>
    </w:p>
    <w:p>
      <w:pPr>
        <w:pStyle w:val="Heading1"/>
        <w:spacing w:after="120" w:before="240"/>
      </w:pPr>
      <w:r>
        <w:rPr>
          <w:b/>
          <w:bCs/>
          <w:sz w:val="28"/>
          <w:szCs w:val="28"/>
        </w:rPr>
        <w:t xml:space="preserve">Three Project Endpoints</w:t>
      </w:r>
    </w:p>
    <w:p>
      <w:pPr>
        <w:spacing w:after="120" w:line="264" w:lineRule="auto"/>
      </w:pPr>
      <w:r>
        <w:t xml:space="preserve">The semester has three acceptable finish lines: Minimum, Target, and Maximum. Each one sets how much work the three interim deliverables involve. Target includes everything in Minimum and adds to it; Maximum includes everything in Target and adds more. The final report is required at all three — it ties together whatever interim work was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cantSplit/>
          <w:tblHeader/>
        </w:trPr>
        <w:tc>
          <w:tcPr>
            <w:tcW w:type="dxa" w:w="156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Deliverable</w:t>
            </w:r>
          </w:p>
        </w:tc>
        <w:tc>
          <w:tcPr>
            <w:tcW w:type="dxa" w:w="260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Minimum Endpoint</w:t>
            </w:r>
          </w:p>
        </w:tc>
        <w:tc>
          <w:tcPr>
            <w:tcW w:type="dxa" w:w="260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Target Endpoint</w:t>
            </w:r>
          </w:p>
        </w:tc>
        <w:tc>
          <w:tcPr>
            <w:tcW w:type="dxa" w:w="260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Maximum Endpoint</w:t>
            </w:r>
          </w:p>
        </w:tc>
      </w:tr>
      <w:tr>
        <w:trPr>
          <w:cantSplit/>
        </w:trP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S3-ID-1: Dataset &amp; Baseline</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Labels extracted and audited; the recorded scope decision; the locked site- and instrument-stratified split.</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Adds: the adequacy-QC’d canonical-space tile set; the two-encoder baseline with CIs.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Adds: the blinded re-review label-noise estimate; a per-instrument baseline breakdown.</w:t>
            </w:r>
          </w:p>
        </w:tc>
      </w:tr>
      <w:tr>
        <w:trPr>
          <w:cantSplit/>
        </w:trP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S3-ID-2: Suspicion Model</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A trained multiple-instance model with sensitivity, specificity, and AUROC on the held-out set.</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Adds: bootstrap CIs, calibration, the cost-based threshold analysis, the aggregation comparison, and the per-instrument breakdown.</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Adds: LOIO triage validation on the paired subset; the three-way analysis (class counts allowing); a failure-case gallery by instrument.</w:t>
            </w:r>
          </w:p>
        </w:tc>
      </w:tr>
      <w:tr>
        <w:trPr>
          <w:cantSplit/>
        </w:trP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S3-ID-3: Attention &amp; Integration</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Attention concordance on the validation subset; the suspicion score folded into the ROI ranking.</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Adds: cross-instrument attention stability; regenerated packages for the full reading-study set with QC; the hit-rate target with CIs.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Adds: a pathologist usefulness judgment; the end-to-end demonstration via the onboarding protocol on an instrument treated as new.</w:t>
            </w:r>
          </w:p>
        </w:tc>
      </w:tr>
      <w:tr>
        <w:trPr>
          <w:cantSplit/>
        </w:trP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Final Report (Deliverable 4)</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Required: pull all completed interim work into one triage story, with an honest account of the limits.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Required: same as Minimum.</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Required: same as Minimum.</w:t>
            </w:r>
          </w:p>
        </w:tc>
      </w:tr>
    </w:tbl>
    <w:p>
      <w:pPr>
        <w:spacing w:after="120"/>
      </w:pPr>
      <w:r>
        <w:t xml:space="preserve"/>
      </w:r>
    </w:p>
    <w:p>
      <w:pPr>
        <w:pStyle w:val="Heading1"/>
        <w:spacing w:after="120" w:before="240"/>
      </w:pPr>
      <w:r>
        <w:rPr>
          <w:b/>
          <w:bCs/>
          <w:sz w:val="28"/>
          <w:szCs w:val="28"/>
        </w:rPr>
        <w:t xml:space="preserve">Course Grading Rubric</w:t>
      </w:r>
    </w:p>
    <w:p>
      <w:pPr>
        <w:spacing w:after="120" w:line="264" w:lineRule="auto"/>
      </w:pPr>
      <w:r>
        <w:t xml:space="preserve">The course grade is split across the three interim deliverables and the final report, as shown below. The final report carries the most weight because it is where everything comes together and where the student communicates the work. The three interim deliverables build the record the final report draws on. The same six-part rubric is used for each interim deliverable; a separate six-part rubric is used for the final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200"/>
        <w:gridCol w:w="1800"/>
      </w:tblGrid>
      <w:tr>
        <w:trPr>
          <w:cantSplit/>
          <w:tblHeader/>
        </w:trPr>
        <w:tc>
          <w:tcPr>
            <w:tcW w:type="dxa" w:w="636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Deliverable</w:t>
            </w:r>
          </w:p>
        </w:tc>
        <w:tc>
          <w:tcPr>
            <w:tcW w:type="dxa" w:w="120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Weight</w:t>
            </w:r>
          </w:p>
        </w:tc>
        <w:tc>
          <w:tcPr>
            <w:tcW w:type="dxa" w:w="180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Submission Milestone</w:t>
            </w:r>
          </w:p>
        </w:tc>
      </w:tr>
      <w:tr>
        <w:trPr>
          <w:cantSplit/>
        </w:trPr>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S3-ID-1: Diagnostic Dataset, Label Extraction, and Encoder Baseline</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End of Week 5</w:t>
            </w:r>
          </w:p>
        </w:tc>
      </w:tr>
      <w:tr>
        <w:trPr>
          <w:cantSplit/>
        </w:trPr>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S3-ID-2: Multiple-Instance Suspicion Model and Cross-Instrument Validation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End of Week 9</w:t>
            </w:r>
          </w:p>
        </w:tc>
      </w:tr>
      <w:tr>
        <w:trPr>
          <w:cantSplit/>
        </w:trPr>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S3-ID-3: Attention Validation, Stability, and Triage Integration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End of Week 12</w:t>
            </w:r>
          </w:p>
        </w:tc>
      </w:tr>
      <w:tr>
        <w:trPr>
          <w:cantSplit/>
        </w:trPr>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Final Report (Deliverable 4) — synthesis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70%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End of Week 14</w:t>
            </w:r>
          </w:p>
        </w:tc>
      </w:tr>
      <w:tr>
        <w:trPr>
          <w:cantSplit/>
        </w:trPr>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Total</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100%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
            </w:r>
          </w:p>
        </w:tc>
      </w:tr>
    </w:tbl>
    <w:p>
      <w:pPr>
        <w:spacing w:after="120"/>
      </w:pPr>
      <w:r>
        <w:t xml:space="preserve"/>
      </w:r>
    </w:p>
    <w:p>
      <w:pPr>
        <w:pStyle w:val="Heading2"/>
        <w:spacing w:after="100" w:before="180"/>
      </w:pPr>
      <w:r>
        <w:rPr>
          <w:b/>
          <w:bCs/>
          <w:sz w:val="26"/>
          <w:szCs w:val="26"/>
        </w:rPr>
        <w:t xml:space="preserve">Grading Rubric — Interim Deliverables (ID-1, ID-2, ID-3)</w:t>
      </w:r>
    </w:p>
    <w:p>
      <w:pPr>
        <w:spacing w:after="120" w:line="264" w:lineRule="auto"/>
      </w:pPr>
      <w:r>
        <w:t xml:space="preserve">The same six-part rubric is used for all three interim deliverables. What each part means shifts a little from one deliverable to the next, but the parts and their weights stay the same. Using one rubric keeps expectations clear and makes it easy to compare work across the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920"/>
        <w:gridCol w:w="2180"/>
        <w:gridCol w:w="2180"/>
        <w:gridCol w:w="2120"/>
      </w:tblGrid>
      <w:tr>
        <w:trPr>
          <w:cantSplit/>
          <w:tblHeader/>
        </w:trPr>
        <w:tc>
          <w:tcPr>
            <w:tcW w:type="dxa" w:w="196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Criterion</w:t>
            </w:r>
          </w:p>
        </w:tc>
        <w:tc>
          <w:tcPr>
            <w:tcW w:type="dxa" w:w="92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Weight</w:t>
            </w:r>
          </w:p>
        </w:tc>
        <w:tc>
          <w:tcPr>
            <w:tcW w:type="dxa" w:w="218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Exemplary (≥85%)</w:t>
            </w:r>
          </w:p>
        </w:tc>
        <w:tc>
          <w:tcPr>
            <w:tcW w:type="dxa" w:w="218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Proficient (60–84%)</w:t>
            </w:r>
          </w:p>
        </w:tc>
        <w:tc>
          <w:tcPr>
            <w:tcW w:type="dxa" w:w="212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Developing (&lt;60%)</w:t>
            </w:r>
          </w:p>
        </w:tc>
      </w:tr>
      <w:tr>
        <w:trPr>
          <w:cantSplit/>
        </w:trPr>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Scientific / engineering rationale</w:t>
            </w:r>
          </w:p>
        </w:tc>
        <w:tc>
          <w:tcPr>
            <w:tcW w:type="dxa" w:w="9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20%</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Choices (architecture, metric, aggregation, encoder) backed by data, references, or reasoning from first principles. Other options considered and ruled out with reasons. The link to the triage targets is stated in numbers.</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Choices explained informally; other options mentioned; the link to targets only implied.</w:t>
            </w:r>
          </w:p>
        </w:tc>
        <w:tc>
          <w:tcPr>
            <w:tcW w:type="dxa" w:w="2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Choices not explained, or made only for convenience; link to triage targets unclear.</w:t>
            </w:r>
          </w:p>
        </w:tc>
      </w:tr>
      <w:tr>
        <w:trPr>
          <w:cantSplit/>
        </w:trPr>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Technical execution</w:t>
            </w:r>
          </w:p>
        </w:tc>
        <w:tc>
          <w:tcPr>
            <w:tcW w:type="dxa" w:w="9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20%</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Modules and models meet their stated specs. Train/validation/test hygiene is clean with no leakage; preprocessing, calibration, and controls are spelled out. Code runs end to end.</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Work functions; specs partly met; minor flaws that don’t get in the way.</w:t>
            </w:r>
          </w:p>
        </w:tc>
        <w:tc>
          <w:tcPr>
            <w:tcW w:type="dxa" w:w="2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Work incomplete or unreliable; data leakage or untested code; needs major rework.</w:t>
            </w:r>
          </w:p>
        </w:tc>
      </w:tr>
      <w:tr>
        <w:trPr>
          <w:cantSplit/>
        </w:trPr>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Quantitative analysis</w:t>
            </w:r>
          </w:p>
        </w:tc>
        <w:tc>
          <w:tcPr>
            <w:tcW w:type="dxa" w:w="9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20%</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Every result has an error bar (CI, bootstrap, or RMS). Error sources are separated into data, label, model, and instrument. The statistics fit the question.</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Most results have error bars; error sources named but not quantified; statistics informal.</w:t>
            </w:r>
          </w:p>
        </w:tc>
        <w:tc>
          <w:tcPr>
            <w:tcW w:type="dxa" w:w="2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Single numbers only; no confidence intervals; no accounting of error.</w:t>
            </w:r>
          </w:p>
        </w:tc>
      </w:tr>
      <w:tr>
        <w:trPr>
          <w:cantSplit/>
        </w:trPr>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Evidence-based outcomes</w:t>
            </w:r>
          </w:p>
        </w:tc>
        <w:tc>
          <w:tcPr>
            <w:tcW w:type="dxa" w:w="9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20%</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Targets clearly met against the triage budget, or any shortfall explained with sound reasoning. Before-and-after or system-vs-reference comparison, with proper statistics.</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Targets mostly met; comparison shown; statistics not formally tested.</w:t>
            </w:r>
          </w:p>
        </w:tc>
        <w:tc>
          <w:tcPr>
            <w:tcW w:type="dxa" w:w="2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Targets unmet or untested; no comparison; claims go beyond the evidence.</w:t>
            </w:r>
          </w:p>
        </w:tc>
      </w:tr>
      <w:tr>
        <w:trPr>
          <w:cantSplit/>
        </w:trPr>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Documentation and reproducibility</w:t>
            </w:r>
          </w:p>
        </w:tc>
        <w:tc>
          <w:tcPr>
            <w:tcW w:type="dxa" w:w="9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10%</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Everything committed (data splits, label tables, code, trained weights, configs, environment). A README lets someone else reproduce every figure and metric from the data.</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Most artifacts committed; gaps make full reproduction hard for an outsider.</w:t>
            </w:r>
          </w:p>
        </w:tc>
        <w:tc>
          <w:tcPr>
            <w:tcW w:type="dxa" w:w="2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Documentation missing or too thin to reproduce.</w:t>
            </w:r>
          </w:p>
        </w:tc>
      </w:tr>
      <w:tr>
        <w:trPr>
          <w:cantSplit/>
        </w:trPr>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Integration and engineering judgment</w:t>
            </w:r>
          </w:p>
        </w:tc>
        <w:tc>
          <w:tcPr>
            <w:tcW w:type="dxa" w:w="9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10%</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Explains how the work fits the overall pipeline. Limits, risks, and failure modes are written down. States what it means for the next deliverable.</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Fit and limits partly explained; some thought given to risk.</w:t>
            </w:r>
          </w:p>
        </w:tc>
        <w:tc>
          <w:tcPr>
            <w:tcW w:type="dxa" w:w="2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Fit not stated; no limits, risks, or knock-on effects discussed.</w:t>
            </w:r>
          </w:p>
        </w:tc>
      </w:tr>
    </w:tbl>
    <w:p>
      <w:pPr>
        <w:spacing w:after="120"/>
      </w:pPr>
      <w:r>
        <w:t xml:space="preserve"/>
      </w:r>
    </w:p>
    <w:p>
      <w:pPr>
        <w:pStyle w:val="Heading2"/>
        <w:spacing w:after="100" w:before="180"/>
      </w:pPr>
      <w:r>
        <w:rPr>
          <w:b/>
          <w:bCs/>
          <w:sz w:val="26"/>
          <w:szCs w:val="26"/>
        </w:rPr>
        <w:t xml:space="preserve">Grading Rubric — Final Report</w:t>
      </w:r>
    </w:p>
    <w:p>
      <w:pPr>
        <w:spacing w:after="120" w:line="264" w:lineRule="auto"/>
      </w:pPr>
      <w:r>
        <w:t xml:space="preserve">The final report is judged with a different rubric because its job is to pull things together rather than to carry out a single piece of work. The parts below measure how well the student weaves the three interim deliverables into one story and explains it to a technical 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920"/>
        <w:gridCol w:w="2180"/>
        <w:gridCol w:w="2180"/>
        <w:gridCol w:w="2120"/>
      </w:tblGrid>
      <w:tr>
        <w:trPr>
          <w:cantSplit/>
          <w:tblHeader/>
        </w:trPr>
        <w:tc>
          <w:tcPr>
            <w:tcW w:type="dxa" w:w="196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Criterion</w:t>
            </w:r>
          </w:p>
        </w:tc>
        <w:tc>
          <w:tcPr>
            <w:tcW w:type="dxa" w:w="92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Weight</w:t>
            </w:r>
          </w:p>
        </w:tc>
        <w:tc>
          <w:tcPr>
            <w:tcW w:type="dxa" w:w="218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Exemplary (≥85%)</w:t>
            </w:r>
          </w:p>
        </w:tc>
        <w:tc>
          <w:tcPr>
            <w:tcW w:type="dxa" w:w="218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Proficient (60–84%)</w:t>
            </w:r>
          </w:p>
        </w:tc>
        <w:tc>
          <w:tcPr>
            <w:tcW w:type="dxa" w:w="212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Developing (&lt;60%)</w:t>
            </w:r>
          </w:p>
        </w:tc>
      </w:tr>
      <w:tr>
        <w:trPr>
          <w:cantSplit/>
        </w:trPr>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Integration and synthesis</w:t>
            </w:r>
          </w:p>
        </w:tc>
        <w:tc>
          <w:tcPr>
            <w:tcW w:type="dxa" w:w="9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25%</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One connected story across all three deliverables, with each feeding the next; the whole is more than the parts.</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Some links drawn between deliverables; partly joined up; some sections read as standalone summaries.</w:t>
            </w:r>
          </w:p>
        </w:tc>
        <w:tc>
          <w:tcPr>
            <w:tcW w:type="dxa" w:w="2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Just the interim summaries stuck together; nothing tied together.</w:t>
            </w:r>
          </w:p>
        </w:tc>
      </w:tr>
      <w:tr>
        <w:trPr>
          <w:cantSplit/>
        </w:trPr>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Scientific argument</w:t>
            </w:r>
          </w:p>
        </w:tc>
        <w:tc>
          <w:tcPr>
            <w:tcW w:type="dxa" w:w="9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20%</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A clear case for the modeling and analysis choices, backed by numbers. Claims are sound, stay within the data, and don’t overreach — the triage-not-diagnosis ceiling is stated and respected.</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An argument is there and mostly supported; occasional overreach or weak claim.</w:t>
            </w:r>
          </w:p>
        </w:tc>
        <w:tc>
          <w:tcPr>
            <w:tcW w:type="dxa" w:w="2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Claims unsupported; argument unclear; conclusions disconnected from the evidence.</w:t>
            </w:r>
          </w:p>
        </w:tc>
      </w:tr>
      <w:tr>
        <w:trPr>
          <w:cantSplit/>
        </w:trPr>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Quality of evidence</w:t>
            </w:r>
          </w:p>
        </w:tc>
        <w:tc>
          <w:tcPr>
            <w:tcW w:type="dxa" w:w="9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20%</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Comparisons with proper confidence intervals. Figures clear, labeled, and needed. Statistical claims match the test used. Reporting follows TRIPOD-AI and STARD.</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Comparisons shown with informal error bars; figures workable; statistics informal.</w:t>
            </w:r>
          </w:p>
        </w:tc>
        <w:tc>
          <w:tcPr>
            <w:tcW w:type="dxa" w:w="2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Single comparisons only; figures unclear or missing; no statistics.</w:t>
            </w:r>
          </w:p>
        </w:tc>
      </w:tr>
      <w:tr>
        <w:trPr>
          <w:cantSplit/>
        </w:trPr>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Reflection and critical analysis</w:t>
            </w:r>
          </w:p>
        </w:tc>
        <w:tc>
          <w:tcPr>
            <w:tcW w:type="dxa" w:w="9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15%</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Names the limits of the approach — label noise, class imbalance, archive size, and cross-instrument residuals included — discusses what failed and what was learned, and says what would be done differently with more data, compute, or time.</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Limits discussed; some reflection; failures noted briefly.</w:t>
            </w:r>
          </w:p>
        </w:tc>
        <w:tc>
          <w:tcPr>
            <w:tcW w:type="dxa" w:w="2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No limits or failures discussed; reads like advertising rather than research.</w:t>
            </w:r>
          </w:p>
        </w:tc>
      </w:tr>
      <w:tr>
        <w:trPr>
          <w:cantSplit/>
        </w:trPr>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Communication and clarity</w:t>
            </w:r>
          </w:p>
        </w:tc>
        <w:tc>
          <w:tcPr>
            <w:tcW w:type="dxa" w:w="9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10%</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Well organized with clear sections. Writing is precise and technical but readable. Aimed correctly at a technical reviewer.</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Readable; some organization issues; occasional unclear spots.</w:t>
            </w:r>
          </w:p>
        </w:tc>
        <w:tc>
          <w:tcPr>
            <w:tcW w:type="dxa" w:w="2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Hard to follow; structure unclear; key sections missing.</w:t>
            </w:r>
          </w:p>
        </w:tc>
      </w:tr>
      <w:tr>
        <w:trPr>
          <w:cantSplit/>
        </w:trPr>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Reproducibility and deliverable archive</w:t>
            </w:r>
          </w:p>
        </w:tc>
        <w:tc>
          <w:tcPr>
            <w:tcW w:type="dxa" w:w="9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10%</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A complete archive: data splits, label tables, code, trained weights, updated inference API, descriptor, environment. Someone could pick up the work without asking questions.</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Mostly complete; a few gaps or one missing artifact type.</w:t>
            </w:r>
          </w:p>
        </w:tc>
        <w:tc>
          <w:tcPr>
            <w:tcW w:type="dxa" w:w="2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Incomplete; the delivered files don’t allow reproduction.</w:t>
            </w:r>
          </w:p>
        </w:tc>
      </w:tr>
    </w:tbl>
    <w:p>
      <w:pPr>
        <w:spacing w:after="120"/>
      </w:pPr>
      <w:r>
        <w:t xml:space="preserve"/>
      </w:r>
    </w:p>
    <w:p>
      <w:pPr>
        <w:pStyle w:val="Heading1"/>
        <w:spacing w:after="120" w:before="240"/>
      </w:pPr>
      <w:r>
        <w:rPr>
          <w:b/>
          <w:bCs/>
          <w:sz w:val="28"/>
          <w:szCs w:val="28"/>
        </w:rPr>
        <w:t xml:space="preserve">Materials</w:t>
      </w:r>
    </w:p>
    <w:p>
      <w:pPr>
        <w:spacing w:after="120" w:line="264" w:lineRule="auto"/>
      </w:pPr>
      <w:r>
        <w:t xml:space="preserve">This is a purely computational role — all microscope hardware and image acquisition are handled by the hardware workstream, and all pathologist annotation time is coordinated through the validation workstream — so the materials are compute, storage, data access, and (mostly open-source)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cantSplit/>
          <w:tblHeader/>
        </w:trPr>
        <w:tc>
          <w:tcPr>
            <w:tcW w:type="dxa" w:w="180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Category</w:t>
            </w:r>
          </w:p>
        </w:tc>
        <w:tc>
          <w:tcPr>
            <w:tcW w:type="dxa" w:w="330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Material / Item</w:t>
            </w:r>
          </w:p>
        </w:tc>
        <w:tc>
          <w:tcPr>
            <w:tcW w:type="dxa" w:w="426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Role</w:t>
            </w:r>
          </w:p>
        </w:tc>
      </w:tr>
      <w:tr>
        <w:trPr>
          <w:cantSplit/>
        </w:trP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Compute</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Cloud GPU hours (T4 / A10-class)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Multiple-instance model training, the encoder and aggregation experiments, LOIO rotations, and the bootstrap evaluation sweeps.</w:t>
            </w:r>
          </w:p>
        </w:tc>
      </w:tr>
      <w:tr>
        <w:trPr>
          <w:cantSplit/>
        </w:trP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Compute (alternative)</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Colab Pro+ or institutional workstation GPU</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Alternative to metered cloud; if a lab GPU is available, used in its place.</w:t>
            </w:r>
          </w:p>
        </w:tc>
      </w:tr>
      <w:tr>
        <w:trPr>
          <w:cantSplit/>
        </w:trP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Storage</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Cloud object storage for tile embeddings, labels, and model artifacts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Holding the curated multi-instrument tile set, embeddings, the label metadata table, data splits, and trained weights.</w:t>
            </w:r>
          </w:p>
        </w:tc>
      </w:tr>
      <w:tr>
        <w:trPr>
          <w:cantSplit/>
        </w:trP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Data access</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Archived clinical pathology reports (tissue bank, under the amended ethics protocol)</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Source of the slide-level diagnostic labels; access confirmed before S3-ID-1 begins.</w:t>
            </w:r>
          </w:p>
        </w:tc>
      </w:tr>
      <w:tr>
        <w:trPr>
          <w:cantSplit/>
        </w:trP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Data (supplied)</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Paired multi-instrument high-resolution tile acquisitions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The test bench for per-instrument, LOIO, and attention-stability validation; acquired by the hardware workstream.</w:t>
            </w:r>
          </w:p>
        </w:tc>
      </w:tr>
      <w:tr>
        <w:trPr>
          <w:cantSplit/>
        </w:trP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Software</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QuPath, OpenCV, PyTorch, scikit-image; a pathology foundation-model encoder (research license)</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Open-source image-analysis and deep-learning stack, extended with a multiple-instance learning implementation.</w:t>
            </w:r>
          </w:p>
        </w:tc>
      </w:tr>
      <w:tr>
        <w:trPr>
          <w:cantSplit/>
        </w:trP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Software</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Experiment tracking (Weights &amp; Biases, academic tier)</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Run logging and comparison across the encoder, aggregation, and threshold experiments.</w:t>
            </w:r>
          </w:p>
        </w:tc>
      </w:tr>
      <w:tr>
        <w:trPr>
          <w:cantSplit/>
        </w:trP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Dataset hosting</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Zenodo open-access repository</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Release of the structured diagnostic-label extension to the multi-instrument dataset, subject to the ethics amendment.</w:t>
            </w:r>
          </w:p>
        </w:tc>
      </w:tr>
    </w:tbl>
    <w:p>
      <w:pPr>
        <w:spacing w:after="120"/>
      </w:pPr>
      <w:r>
        <w:t xml:space="preserve"/>
      </w:r>
    </w:p>
    <w:p>
      <w:pPr>
        <w:pStyle w:val="Heading1"/>
        <w:spacing w:after="120" w:before="240"/>
      </w:pPr>
      <w:r>
        <w:rPr>
          <w:b/>
          <w:bCs/>
          <w:sz w:val="28"/>
          <w:szCs w:val="28"/>
        </w:rPr>
        <w:t xml:space="preserve">Project Management Plan</w:t>
      </w:r>
    </w:p>
    <w:p>
      <w:pPr>
        <w:spacing w:after="120" w:line="264" w:lineRule="auto"/>
      </w:pPr>
      <w:r>
        <w:t xml:space="preserve">The work is primarily computational and can be carried out in the computing lab or remotely against lab compute, alongside the research advisor. Effort will average roughly ten hours a week over the fourteen weeks. The first two weeks (label-pipeline setup and reading) are lighter; weeks with model training, cross-instrument validation, and the attention-concordance study are heavier. Meetings with the research advisor will be held every two weeks, with a short written update by email each week. Communication will be by Microsoft Teams and email.</w:t>
      </w:r>
    </w:p>
    <w:p>
      <w:pPr>
        <w:spacing w:after="120" w:line="264" w:lineRule="auto"/>
      </w:pPr>
      <w:r>
        <w:rPr>
          <w:b/>
          <w:bCs/>
        </w:rPr>
        <w:t xml:space="preserve">Project Period: </w:t>
      </w:r>
      <w:r>
        <w:t xml:space="preserve">Semester 3 of three (14 weeks; start and end dates to be confirmed), following Semester 2.</w:t>
      </w:r>
    </w:p>
    <w:p>
      <w:pPr>
        <w:spacing w:after="120" w:line="264" w:lineRule="auto"/>
      </w:pPr>
      <w:r>
        <w:rPr>
          <w:b/>
          <w:bCs/>
        </w:rPr>
        <w:t xml:space="preserve">Grading Policy: </w:t>
      </w:r>
      <w:r>
        <w:t xml:space="preserve">Letter grade only.</w:t>
      </w:r>
    </w:p>
    <w:p>
      <w:pPr>
        <w:spacing w:after="120" w:line="264" w:lineRule="auto"/>
      </w:pPr>
      <w:r>
        <w:rPr>
          <w:b/>
          <w:bCs/>
        </w:rPr>
        <w:t xml:space="preserve">Credit Hours: </w:t>
      </w:r>
      <w:r>
        <w:t xml:space="preserve">3. This is the third of three sequential 3-credit research courses; the companion courses are Semester 1 (Instrument Calibration and the Multi-Criterion Adequacy Classifier) and Semester 2 (Cross-Instrument Generalization and System Integration).</w:t>
      </w:r>
    </w:p>
    <w:p>
      <w:pPr>
        <w:spacing w:after="120" w:line="264" w:lineRule="auto"/>
      </w:pPr>
      <w:r>
        <w:t xml:space="preserve">To count as an elective for the coursework option of the Robotics MSE, a research course must be at least 3 credits and must obtain a letter grade (A, A-, B+, etc.), not Pass/Fail.</w:t>
      </w:r>
    </w:p>
    <w:p>
      <w:pPr>
        <w:pStyle w:val="Heading1"/>
        <w:spacing w:after="120" w:before="240"/>
      </w:pPr>
      <w:r>
        <w:rPr>
          <w:b/>
          <w:bCs/>
          <w:sz w:val="28"/>
          <w:szCs w:val="28"/>
        </w:rPr>
        <w:t xml:space="preserve">Fourteen-Week Work Plan</w:t>
      </w:r>
    </w:p>
    <w:p>
      <w:pPr>
        <w:spacing w:after="120" w:line="264" w:lineRule="auto"/>
      </w:pPr>
      <w:r>
        <w:t xml:space="preserve">The semester runs fourteen weeks. Weeks 1–2 are setup (the label-extraction pipeline and reading); the remaining twelve weeks cover the three interim deliverables and the final report. The semester depends on the validated classifier, canonical space, and inference interface inherited from Semesters 1 and 2, on access to the archived pathology reports under the amended ethics protocol, and on pathologist time for the attention-marking study being scheduled early with the validation workstream.</w:t>
      </w:r>
    </w:p>
    <w:p>
      <w:pPr>
        <w:pStyle w:val="Heading2"/>
        <w:spacing w:after="100" w:before="180"/>
      </w:pPr>
      <w:r>
        <w:rPr>
          <w:b/>
          <w:bCs/>
          <w:sz w:val="26"/>
          <w:szCs w:val="26"/>
        </w:rPr>
        <w:t xml:space="preserve">Weeks 1–2: Setup and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5460"/>
        <w:gridCol w:w="900"/>
        <w:gridCol w:w="1300"/>
      </w:tblGrid>
      <w:tr>
        <w:trPr>
          <w:cantSplit/>
          <w:tblHeader/>
        </w:trPr>
        <w:tc>
          <w:tcPr>
            <w:tcW w:type="dxa" w:w="70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Week</w:t>
            </w:r>
          </w:p>
        </w:tc>
        <w:tc>
          <w:tcPr>
            <w:tcW w:type="dxa" w:w="100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Phase</w:t>
            </w:r>
          </w:p>
        </w:tc>
        <w:tc>
          <w:tcPr>
            <w:tcW w:type="dxa" w:w="546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Activities</w:t>
            </w:r>
          </w:p>
        </w:tc>
        <w:tc>
          <w:tcPr>
            <w:tcW w:type="dxa" w:w="90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Hours</w:t>
            </w:r>
          </w:p>
        </w:tc>
        <w:tc>
          <w:tcPr>
            <w:tcW w:type="dxa" w:w="130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Milestone</w:t>
            </w:r>
          </w:p>
        </w:tc>
      </w:tr>
      <w:tr>
        <w:trPr>
          <w:cantSplit/>
        </w:trP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Setup</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Recap the Semester 1–2 classifier, calibrations, envelope, and inference-interface archive. Confirm the status of the ethics amendment covering diagnostic use of the archived pathology reports. Begin the literature review on multiple-instance learning, weak supervision, and pathology foundation models. Initial meeting with the research advisor to confirm scope and the selected endpoint.</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~6 hrs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
            </w:r>
          </w:p>
        </w:tc>
      </w:tr>
      <w:tr>
        <w:trPr>
          <w:cantSplit/>
        </w:trP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2</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Setup</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Finish the literature review and build a short annotated bibliography. Design the label metadata schema and stand up the label-extraction pipeline skeleton. Confirm access to the archived pathology reports and schedule pathologist time for the attention-marking study with the validation workstream.</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~10 hrs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Label pipeline and access ready</w:t>
            </w:r>
          </w:p>
        </w:tc>
      </w:tr>
    </w:tbl>
    <w:p>
      <w:pPr>
        <w:spacing w:after="120"/>
      </w:pPr>
      <w:r>
        <w:t xml:space="preserve"/>
      </w:r>
    </w:p>
    <w:p>
      <w:pPr>
        <w:pStyle w:val="Heading2"/>
        <w:spacing w:after="100" w:before="180"/>
      </w:pPr>
      <w:r>
        <w:rPr>
          <w:b/>
          <w:bCs/>
          <w:sz w:val="26"/>
          <w:szCs w:val="26"/>
        </w:rPr>
        <w:t xml:space="preserve">Weeks 3–14: Active Work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5460"/>
        <w:gridCol w:w="900"/>
        <w:gridCol w:w="1300"/>
      </w:tblGrid>
      <w:tr>
        <w:trPr>
          <w:cantSplit/>
          <w:tblHeader/>
        </w:trPr>
        <w:tc>
          <w:tcPr>
            <w:tcW w:type="dxa" w:w="70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Week</w:t>
            </w:r>
          </w:p>
        </w:tc>
        <w:tc>
          <w:tcPr>
            <w:tcW w:type="dxa" w:w="100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Phase</w:t>
            </w:r>
          </w:p>
        </w:tc>
        <w:tc>
          <w:tcPr>
            <w:tcW w:type="dxa" w:w="546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Activities</w:t>
            </w:r>
          </w:p>
        </w:tc>
        <w:tc>
          <w:tcPr>
            <w:tcW w:type="dxa" w:w="90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Hours</w:t>
            </w:r>
          </w:p>
        </w:tc>
        <w:tc>
          <w:tcPr>
            <w:tcW w:type="dxa" w:w="1300"/>
            <w:tcBorders>
              <w:top w:val="single" w:color="BBBBBB" w:sz="1"/>
              <w:left w:val="single" w:color="BBBBBB" w:sz="1"/>
              <w:bottom w:val="single" w:color="BBBBBB" w:sz="1"/>
              <w:right w:val="single" w:color="BBBBBB" w:sz="1"/>
            </w:tcBorders>
            <w:shd w:fill="D5E8F0" w:color="auto" w:val="clear"/>
            <w:tcMar>
              <w:top w:type="dxa" w:w="80"/>
              <w:left w:type="dxa" w:w="120"/>
              <w:bottom w:type="dxa" w:w="80"/>
              <w:right w:type="dxa" w:w="120"/>
            </w:tcMar>
          </w:tcPr>
          <w:p>
            <w:pPr>
              <w:spacing w:line="264" w:lineRule="auto"/>
            </w:pPr>
            <w:r>
              <w:rPr>
                <w:b/>
                <w:bCs/>
                <w:sz w:val="20"/>
                <w:szCs w:val="20"/>
              </w:rPr>
              <w:t xml:space="preserve">Milestone</w:t>
            </w:r>
          </w:p>
        </w:tc>
      </w:tr>
      <w:tr>
        <w:trPr>
          <w:cantSplit/>
        </w:trP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3</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S3-ID-1</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Extract slide-level B-category labels from the archived pathology reports; join them to the imaged slides across all instruments in the structured metadata table; run the class-count audit and record the scope decision (binary versus three-way) with the advisor.</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~10 hrs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Scope decision recorded</w:t>
            </w:r>
          </w:p>
        </w:tc>
      </w:tr>
      <w:tr>
        <w:trPr>
          <w:cantSplit/>
        </w:trP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4</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S3-ID-1</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Curate the targeted high-resolution tile set in canonical space, quality-controlled with the Semester 1 adequacy modules; lock the site- and instrument-stratified split; run the blinded re-review label-noise sample.</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~12 hrs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
            </w:r>
          </w:p>
        </w:tc>
      </w:tr>
      <w:tr>
        <w:trPr>
          <w:cantSplit/>
        </w:trP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5</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S3-ID-1</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Establish the two-encoder baseline (Semester 2 carry-forward backbone versus a pathology foundation-model encoder, simple pooling); write the S3-ID-1 report and commit the extraction code, metadata table, and split.</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~12 hrs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S3-ID-1 submitted</w:t>
            </w:r>
          </w:p>
        </w:tc>
      </w:tr>
      <w:tr>
        <w:trPr>
          <w:cantSplit/>
        </w:trP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6</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S3-ID-2</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Implement the attention-based multiple-instance model over the tile embeddings (slide score plus per-tile attention weights) with the selected encoder; build the embedding pipeline.</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~10 hrs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
            </w:r>
          </w:p>
        </w:tc>
      </w:tr>
      <w:tr>
        <w:trPr>
          <w:cantSplit/>
        </w:trP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7</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S3-ID-2</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Train with explicit class-imbalance handling; run the aggregation experiment (attention pooling versus a top-k alternative).</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~12 hrs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
            </w:r>
          </w:p>
        </w:tc>
      </w:tr>
      <w:tr>
        <w:trPr>
          <w:cantSplit/>
        </w:trP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8</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S3-ID-2</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Validate on the locked held-out test set: sensitivity, specificity, and AUROC with bootstrap CIs against the recorded diagnoses — overall, per instrument, and LOIO on the paired subset; run the calibration analysis.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~12 hrs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Triage targets checked</w:t>
            </w:r>
          </w:p>
        </w:tc>
      </w:tr>
      <w:tr>
        <w:trPr>
          <w:cantSplit/>
        </w:trP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9</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S3-ID-2</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Run the cost-based decision-threshold analysis; extend to the three-way analysis if the scope decision allows; write the S3-ID-2 report and commit code, weights, and logs.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~12 hrs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S3-ID-2 submitted</w:t>
            </w:r>
          </w:p>
        </w:tc>
      </w:tr>
      <w:tr>
        <w:trPr>
          <w:cantSplit/>
        </w:trP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10</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S3-ID-3</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Collect pathologist-marked diagnostic regions on the validation subset with the validation workstream; define and implement the attention-concordance and cross-instrument stability metrics.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~10 hrs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
            </w:r>
          </w:p>
        </w:tc>
      </w:tr>
      <w:tr>
        <w:trPr>
          <w:cantSplit/>
        </w:trP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11</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S3-ID-3</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Compute attention concordance and cross-instrument attention stability with confidence intervals; fold the suspicion score into the ROI ranking and the inference API, extending the agreed output schema without breaking the Semester 2 interface.</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~12 hrs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
            </w:r>
          </w:p>
        </w:tc>
      </w:tr>
      <w:tr>
        <w:trPr>
          <w:cantSplit/>
        </w:trP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12</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S3-ID-3</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Regenerate the output packages for the reading-study set with the diagnosis-informed ranking; run the end-to-end demonstration; write the S3-ID-3 report and commit the API, packages, and concordance tables.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~12 hrs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S3-ID-3 submitted</w:t>
            </w:r>
          </w:p>
        </w:tc>
      </w:tr>
      <w:tr>
        <w:trPr>
          <w:cantSplit/>
        </w:trP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13</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Final</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Synthesize the semester into one triage narrative — labels, model, concordance across instruments, attention anchoring and stability, and integration; assemble figures and tables; complete the TRIPOD-AI and STARD checklists.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~10 hrs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
            </w:r>
          </w:p>
        </w:tc>
      </w:tr>
      <w:tr>
        <w:trPr>
          <w:cantSplit/>
        </w:trP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14</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Final</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Finalise the final report; prepare the Zenodo diagnostic-label extension and descriptor (subject to the ethics amendment); draft the triage manuscript; tag the repository for the final archive. Final supervision meeting and submission.</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~10 hrs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lineRule="auto"/>
            </w:pPr>
            <w:r>
              <w:rPr>
                <w:b w:val="false"/>
                <w:bCs w:val="false"/>
                <w:sz w:val="20"/>
                <w:szCs w:val="20"/>
              </w:rPr>
              <w:t xml:space="preserve">Semester 3 final report submitted</w:t>
            </w:r>
          </w:p>
        </w:tc>
      </w:tr>
    </w:tbl>
    <w:p>
      <w:pPr>
        <w:spacing w:after="120"/>
      </w:pPr>
      <w:r>
        <w:t xml:space="preserve"/>
      </w:r>
    </w:p>
    <w:p>
      <w:pPr>
        <w:pStyle w:val="Heading1"/>
        <w:spacing w:after="120" w:before="240"/>
      </w:pPr>
      <w:r>
        <w:rPr>
          <w:b/>
          <w:bCs/>
          <w:sz w:val="28"/>
          <w:szCs w:val="28"/>
        </w:rPr>
        <w:t xml:space="preserve">Academic Integrity and AI</w:t>
      </w:r>
    </w:p>
    <w:p>
      <w:pPr>
        <w:spacing w:after="120" w:line="264" w:lineRule="auto"/>
      </w:pPr>
      <w:r>
        <w:t xml:space="preserve">Artificial-intelligence tools, including large language models such as Claude, will be used heavily in this project as research and coding assistants. The student will use them to explore background material, work through machine-learning and computer-vision questions, draft and debug Python and analysis code, build and review data-analysis notebooks, design experimental protocols, and check reasoning — much the way a student would use a textbook, a tutor, or a colleague. AI may assist with boilerplate and routine code, but the experimental design, the modeling decisions, and the analysis are the student’s own engineering work. AI will not, however, be used to write any of the interim deliverables (ID-1, ID-2, ID-3) or the final report. Those documents will be written by the student. This separation keeps the submitted work an honest record of the student’s own reasoning and writing, while allowing AI to support the day-to-day research and software work where it is most useful.</w:t>
      </w:r>
    </w:p>
    <w:p>
      <w:pPr>
        <w:pStyle w:val="Heading1"/>
        <w:spacing w:after="120" w:before="240"/>
      </w:pPr>
      <w:r>
        <w:rPr>
          <w:b/>
          <w:bCs/>
          <w:sz w:val="28"/>
          <w:szCs w:val="28"/>
        </w:rPr>
        <w:t xml:space="preserve">Acknowledgments</w:t>
      </w:r>
    </w:p>
    <w:p>
      <w:pPr>
        <w:spacing w:after="120" w:line="264" w:lineRule="auto"/>
      </w:pPr>
      <w:r>
        <w:t xml:space="preserve">The opportunity to work with other researchers is a privilege. I understand that this research should be a top academic priority, both out of consideration for my supervisor’s time and because others may be depending on my results.</w:t>
      </w:r>
    </w:p>
    <w:p>
      <w:pPr>
        <w:spacing w:after="120" w:line="264" w:lineRule="auto"/>
      </w:pPr>
      <w:r>
        <w:t xml:space="preserve">I agree to keep my supervisor apprised of my progress throughout the research, via weekly written updates or another agreed-upon mechanism. Consistent communication with my advisor is crucial to my successful completion.</w:t>
      </w:r>
    </w:p>
    <w:p>
      <w:pPr>
        <w:spacing w:after="40" w:before="360"/>
      </w:pPr>
      <w:r>
        <w:t xml:space="preserve">______________________________            Date: ______________</w:t>
      </w:r>
    </w:p>
    <w:p>
      <w:pPr>
        <w:spacing w:after="0"/>
      </w:pPr>
      <w:r>
        <w:rPr>
          <w:b/>
          <w:bCs/>
        </w:rPr>
        <w:t xml:space="preserve">Bruno Beijuka</w:t>
      </w:r>
    </w:p>
    <w:p>
      <w:pPr>
        <w:spacing w:after="120"/>
      </w:pPr>
      <w:r>
        <w:t xml:space="preserve">Student</w:t>
      </w:r>
    </w:p>
    <w:p>
      <w:pPr>
        <w:spacing w:after="40" w:before="360"/>
      </w:pPr>
      <w:r>
        <w:t xml:space="preserve">______________________________            Date: ______________</w:t>
      </w:r>
    </w:p>
    <w:p>
      <w:pPr>
        <w:spacing w:after="0"/>
      </w:pPr>
      <w:r>
        <w:rPr>
          <w:b/>
          <w:bCs/>
        </w:rPr>
        <w:t xml:space="preserve">Dr. Tonny Okecha</w:t>
      </w:r>
    </w:p>
    <w:p>
      <w:pPr>
        <w:spacing w:after="120"/>
      </w:pPr>
      <w:r>
        <w:t xml:space="preserve">Project Sponsor</w:t>
      </w:r>
    </w:p>
    <w:p>
      <w:pPr>
        <w:spacing w:after="40" w:before="360"/>
      </w:pPr>
      <w:r>
        <w:t xml:space="preserve">______________________________            Date: ______________</w:t>
      </w:r>
    </w:p>
    <w:p>
      <w:pPr>
        <w:spacing w:after="0"/>
      </w:pPr>
      <w:r>
        <w:rPr>
          <w:b/>
          <w:bCs/>
        </w:rPr>
        <w:t xml:space="preserve">Dr. Samuel Kalungi</w:t>
      </w:r>
    </w:p>
    <w:p>
      <w:pPr>
        <w:spacing w:after="120"/>
      </w:pPr>
      <w:r>
        <w:t xml:space="preserve">Clinical Lead Investigator</w:t>
      </w:r>
    </w:p>
    <w:p>
      <w:pPr>
        <w:spacing w:after="40" w:before="360"/>
      </w:pPr>
      <w:r>
        <w:t xml:space="preserve">______________________________            Date: ______________</w:t>
      </w:r>
    </w:p>
    <w:p>
      <w:pPr>
        <w:spacing w:after="0"/>
      </w:pPr>
      <w:r>
        <w:rPr>
          <w:b/>
          <w:bCs/>
        </w:rPr>
        <w:t xml:space="preserve">Dr. Andrew Katumba</w:t>
      </w:r>
    </w:p>
    <w:p>
      <w:pPr>
        <w:spacing w:after="120"/>
      </w:pPr>
      <w:r>
        <w:t xml:space="preserve">Artificial Intelligence Lead Investigator</w:t>
      </w:r>
    </w:p>
    <w:p>
      <w:pPr>
        <w:spacing w:after="40" w:before="360"/>
      </w:pPr>
      <w:r>
        <w:t xml:space="preserve">______________________________            Date: ______________</w:t>
      </w:r>
    </w:p>
    <w:p>
      <w:pPr>
        <w:spacing w:after="0"/>
      </w:pPr>
      <w:r>
        <w:rPr>
          <w:b/>
          <w:bCs/>
        </w:rPr>
        <w:t xml:space="preserve">Dr. Samson Jarso</w:t>
      </w:r>
    </w:p>
    <w:p>
      <w:pPr>
        <w:spacing w:after="120"/>
      </w:pPr>
      <w:r>
        <w:t xml:space="preserve">Biomedical Engineering Lead Investigator &amp; Research Advisor</w:t>
      </w:r>
    </w:p>
    <w:p>
      <w:pPr>
        <w:spacing w:after="40" w:before="360"/>
      </w:pPr>
      <w:r>
        <w:t xml:space="preserve">______________________________            Date: ______________</w:t>
      </w:r>
    </w:p>
    <w:p>
      <w:pPr>
        <w:spacing w:after="0"/>
      </w:pPr>
      <w:r>
        <w:rPr>
          <w:b/>
          <w:bCs/>
        </w:rPr>
        <w:t xml:space="preserve">Dr. Raymond Atwine</w:t>
      </w:r>
    </w:p>
    <w:p>
      <w:pPr>
        <w:spacing w:after="120"/>
      </w:pPr>
      <w:r>
        <w:t xml:space="preserve">Project Consultant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2026-08-28T12:49:10.509Z</dcterms:created>
  <dcterms:modified xsi:type="dcterms:W3CDTF">2026-08-28T12:49:10.510Z</dcterms:modified>
</cp:coreProperties>
</file>

<file path=docProps/custom.xml><?xml version="1.0" encoding="utf-8"?>
<Properties xmlns="http://schemas.openxmlformats.org/officeDocument/2006/custom-properties" xmlns:vt="http://schemas.openxmlformats.org/officeDocument/2006/docPropsVTypes"/>
</file>