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74B5"/>
          <w:sz w:val="32"/>
          <w:szCs w:val="32"/>
        </w:rPr>
        <w:t xml:space="preserve">Tableau de bord — mode d'emploi</w:t>
      </w:r>
    </w:p>
    <w:p>
      <w:pPr>
        <w:spacing w:after="40"/>
        <w:jc w:val="center"/>
      </w:pPr>
      <w:r>
        <w:rPr>
          <w:color w:val="1F3864"/>
          <w:sz w:val="24"/>
          <w:szCs w:val="24"/>
        </w:rPr>
        <w:t xml:space="preserve">Simulation 1 uniquement</w:t>
      </w:r>
    </w:p>
    <w:p>
      <w:pPr>
        <w:spacing w:after="200"/>
        <w:jc w:val="center"/>
      </w:pPr>
      <w:r>
        <w:rPr>
          <w:i/>
          <w:iCs/>
          <w:color w:val="555555"/>
          <w:sz w:val="20"/>
          <w:szCs w:val="20"/>
        </w:rPr>
        <w:t xml:space="preserve">Jeu du Lean Manufacturing (CIPE) — fichier Tableau_de_bord.xlsx</w:t>
      </w:r>
    </w:p>
    <w:p>
      <w:pPr>
        <w:spacing w:after="100" w:before="260"/>
      </w:pPr>
      <w:r>
        <w:rPr>
          <w:b/>
          <w:bCs/>
          <w:color w:val="2E74B5"/>
          <w:sz w:val="26"/>
          <w:szCs w:val="26"/>
        </w:rPr>
        <w:t xml:space="preserve">0. Se repérer dans le classeur</w:t>
      </w:r>
    </w:p>
    <w:p>
      <w:pPr>
        <w:spacing w:after="60" w:before="40"/>
      </w:pPr>
      <w:r>
        <w:rPr>
          <w:i w:val="false"/>
          <w:iCs w:val="false"/>
          <w:sz w:val="20"/>
          <w:szCs w:val="20"/>
        </w:rPr>
        <w:t xml:space="preserve">Le classeur a un onglet Sommaire avec des cases colorées : cliquer sur une case va à l'onglet correspondant, cliquer sur le titre bleu de chaque onglet ramène au Sommaire. Les feuilles sont protégées contre l'effacement des zones qui ne sont pas des cases de saisie, mais sans mot de passe. Pas besoin de déprotéger pour un usage normal. Les graphiques restent illisibles tant qu'aucune donnée n'est saisie, c'est normal.</w:t>
      </w:r>
    </w:p>
    <w:p>
      <w:pPr>
        <w:spacing w:after="100" w:before="260"/>
      </w:pPr>
      <w:r>
        <w:rPr>
          <w:b/>
          <w:bCs/>
          <w:color w:val="2E74B5"/>
          <w:sz w:val="26"/>
          <w:szCs w:val="26"/>
        </w:rPr>
        <w:t xml:space="preserve">1. Principe général</w:t>
      </w:r>
    </w:p>
    <w:p>
      <w:pPr>
        <w:spacing w:after="60" w:before="40"/>
      </w:pPr>
      <w:r>
        <w:rPr>
          <w:i w:val="false"/>
          <w:iCs w:val="false"/>
          <w:sz w:val="20"/>
          <w:szCs w:val="20"/>
        </w:rPr>
        <w:t xml:space="preserve">Un seul onglet où tu saisis des données brutes : « Données Simulation 1 ». Tous les autres onglets utiles à la Simulation 1 (Qualité, Performances Simul. 1, Takt Time, TRG) se recalculent automatiquement à partir de cette saisie, à deux exceptions près, signalées section 4 : le « % de charge » dans Takt Time et le « Temps gamme » dans TRG, qui se saisissent directement dans leur propre onglet.</w:t>
      </w:r>
    </w:p>
    <w:p>
      <w:pPr>
        <w:spacing w:after="100" w:before="260"/>
      </w:pPr>
      <w:r>
        <w:rPr>
          <w:b/>
          <w:bCs/>
          <w:color w:val="2E74B5"/>
          <w:sz w:val="26"/>
          <w:szCs w:val="26"/>
        </w:rPr>
        <w:t xml:space="preserve">2. Saisir les données (onglet « Données Simulation 1 »)</w:t>
      </w:r>
    </w:p>
    <w:p>
      <w:pPr>
        <w:spacing w:after="60" w:before="140"/>
      </w:pPr>
      <w:r>
        <w:rPr>
          <w:b/>
          <w:bCs/>
          <w:color w:val="1F3864"/>
          <w:sz w:val="21"/>
          <w:szCs w:val="21"/>
        </w:rPr>
        <w:t xml:space="preserve">Temps d'ouverture</w:t>
      </w:r>
    </w:p>
    <w:p>
      <w:pPr>
        <w:spacing w:after="60" w:before="40"/>
      </w:pPr>
      <w:r>
        <w:rPr>
          <w:i w:val="false"/>
          <w:iCs w:val="false"/>
          <w:sz w:val="20"/>
          <w:szCs w:val="20"/>
        </w:rPr>
        <w:t xml:space="preserve">Cellules E4 (minutes) et G4 (secondes). À remplir en premier : presque tous les autres calculs en dépendent. Dans le fichier que tu m'as donné, ces deux cellules sont vides, c'est pour ça que certains résultats de l'exemple ci-dessous sont à 0 (voir section 3).</w:t>
      </w:r>
    </w:p>
    <w:p>
      <w:pPr>
        <w:spacing w:after="60" w:before="140"/>
      </w:pPr>
      <w:r>
        <w:rPr>
          <w:b/>
          <w:bCs/>
          <w:color w:val="1F3864"/>
          <w:sz w:val="21"/>
          <w:szCs w:val="21"/>
        </w:rPr>
        <w:t xml:space="preserve">Effectifs par poste</w:t>
      </w:r>
    </w:p>
    <w:p>
      <w:pPr>
        <w:spacing w:after="60" w:before="40"/>
      </w:pPr>
      <w:r>
        <w:rPr>
          <w:i w:val="false"/>
          <w:iCs w:val="false"/>
          <w:sz w:val="20"/>
          <w:szCs w:val="20"/>
        </w:rPr>
        <w:t xml:space="preserve">Cellules C9 à J9, une colonne par poste (Lanct., Croix, Étoile, Ovale, Rect., Triangle, Vague, Contrôle). Le total (K9) se calcule seul.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6266"/>
      </w:tblGrid>
      <w:tr>
        <w:trPr>
          <w:tblHeader/>
        </w:trPr>
        <w:tc>
          <w:tcPr>
            <w:tcW w:type="dxa" w:w="2400"/>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Poste</w:t>
            </w:r>
          </w:p>
        </w:tc>
        <w:tc>
          <w:tcPr>
            <w:tcW w:type="dxa" w:w="1800"/>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Cellule</w:t>
            </w:r>
          </w:p>
        </w:tc>
        <w:tc>
          <w:tcPr>
            <w:tcW w:type="dxa" w:w="6266"/>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Valeur actuelle</w:t>
            </w:r>
          </w:p>
        </w:tc>
      </w:tr>
      <w:tr>
        <w:tc>
          <w:tcPr>
            <w:tcW w:type="dxa" w:w="24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Lancement</w:t>
            </w:r>
          </w:p>
        </w:tc>
        <w:tc>
          <w:tcPr>
            <w:tcW w:type="dxa" w:w="18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C9</w:t>
            </w:r>
          </w:p>
        </w:tc>
        <w:tc>
          <w:tcPr>
            <w:tcW w:type="dxa" w:w="6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w:t>
            </w:r>
          </w:p>
        </w:tc>
      </w:tr>
      <w:tr>
        <w:tc>
          <w:tcPr>
            <w:tcW w:type="dxa" w:w="24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Croix</w:t>
            </w:r>
          </w:p>
        </w:tc>
        <w:tc>
          <w:tcPr>
            <w:tcW w:type="dxa" w:w="18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D9</w:t>
            </w:r>
          </w:p>
        </w:tc>
        <w:tc>
          <w:tcPr>
            <w:tcW w:type="dxa" w:w="6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w:t>
            </w:r>
          </w:p>
        </w:tc>
      </w:tr>
      <w:tr>
        <w:tc>
          <w:tcPr>
            <w:tcW w:type="dxa" w:w="24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Étoile</w:t>
            </w:r>
          </w:p>
        </w:tc>
        <w:tc>
          <w:tcPr>
            <w:tcW w:type="dxa" w:w="18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E9</w:t>
            </w:r>
          </w:p>
        </w:tc>
        <w:tc>
          <w:tcPr>
            <w:tcW w:type="dxa" w:w="6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2</w:t>
            </w:r>
          </w:p>
        </w:tc>
      </w:tr>
      <w:tr>
        <w:tc>
          <w:tcPr>
            <w:tcW w:type="dxa" w:w="24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Ovale</w:t>
            </w:r>
          </w:p>
        </w:tc>
        <w:tc>
          <w:tcPr>
            <w:tcW w:type="dxa" w:w="18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F9</w:t>
            </w:r>
          </w:p>
        </w:tc>
        <w:tc>
          <w:tcPr>
            <w:tcW w:type="dxa" w:w="6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w:t>
            </w:r>
          </w:p>
        </w:tc>
      </w:tr>
      <w:tr>
        <w:tc>
          <w:tcPr>
            <w:tcW w:type="dxa" w:w="24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Rectangle</w:t>
            </w:r>
          </w:p>
        </w:tc>
        <w:tc>
          <w:tcPr>
            <w:tcW w:type="dxa" w:w="18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G9</w:t>
            </w:r>
          </w:p>
        </w:tc>
        <w:tc>
          <w:tcPr>
            <w:tcW w:type="dxa" w:w="6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w:t>
            </w:r>
          </w:p>
        </w:tc>
      </w:tr>
      <w:tr>
        <w:tc>
          <w:tcPr>
            <w:tcW w:type="dxa" w:w="24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Triangle</w:t>
            </w:r>
          </w:p>
        </w:tc>
        <w:tc>
          <w:tcPr>
            <w:tcW w:type="dxa" w:w="18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H9</w:t>
            </w:r>
          </w:p>
        </w:tc>
        <w:tc>
          <w:tcPr>
            <w:tcW w:type="dxa" w:w="6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w:t>
            </w:r>
          </w:p>
        </w:tc>
      </w:tr>
      <w:tr>
        <w:tc>
          <w:tcPr>
            <w:tcW w:type="dxa" w:w="24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Vague</w:t>
            </w:r>
          </w:p>
        </w:tc>
        <w:tc>
          <w:tcPr>
            <w:tcW w:type="dxa" w:w="18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I9</w:t>
            </w:r>
          </w:p>
        </w:tc>
        <w:tc>
          <w:tcPr>
            <w:tcW w:type="dxa" w:w="6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w:t>
            </w:r>
          </w:p>
        </w:tc>
      </w:tr>
      <w:tr>
        <w:tc>
          <w:tcPr>
            <w:tcW w:type="dxa" w:w="24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Contrôle</w:t>
            </w:r>
          </w:p>
        </w:tc>
        <w:tc>
          <w:tcPr>
            <w:tcW w:type="dxa" w:w="18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J9</w:t>
            </w:r>
          </w:p>
        </w:tc>
        <w:tc>
          <w:tcPr>
            <w:tcW w:type="dxa" w:w="6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w:t>
            </w:r>
          </w:p>
        </w:tc>
      </w:tr>
      <w:tr>
        <w:tc>
          <w:tcPr>
            <w:tcW w:type="dxa" w:w="24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Total (auto)</w:t>
            </w:r>
          </w:p>
        </w:tc>
        <w:tc>
          <w:tcPr>
            <w:tcW w:type="dxa" w:w="18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K9</w:t>
            </w:r>
          </w:p>
        </w:tc>
        <w:tc>
          <w:tcPr>
            <w:tcW w:type="dxa" w:w="6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9</w:t>
            </w:r>
          </w:p>
        </w:tc>
      </w:tr>
    </w:tbl>
    <w:p>
      <w:pPr>
        <w:spacing w:after="60" w:before="140"/>
      </w:pPr>
      <w:r>
        <w:rPr>
          <w:b/>
          <w:bCs/>
          <w:color w:val="1F3864"/>
          <w:sz w:val="21"/>
          <w:szCs w:val="21"/>
        </w:rPr>
        <w:t xml:space="preserve">Quantité produite</w:t>
      </w:r>
    </w:p>
    <w:p>
      <w:pPr>
        <w:spacing w:after="60" w:before="40"/>
      </w:pPr>
      <w:r>
        <w:rPr>
          <w:b/>
          <w:bCs/>
          <w:sz w:val="20"/>
          <w:szCs w:val="20"/>
        </w:rPr>
        <w:t xml:space="preserve">Point de vigilance intégré : </w:t>
      </w:r>
      <w:r>
        <w:rPr>
          <w:sz w:val="20"/>
          <w:szCs w:val="20"/>
        </w:rPr>
        <w:t xml:space="preserve">le détail par atelier (D11 à I11) et le total usine (J11) sont deux saisies indépendantes, rien ne les relie automatiquement. Remplis les deux.</w:t>
      </w:r>
    </w:p>
    <w:p>
      <w:pPr>
        <w:spacing w:after="60" w:before="40"/>
      </w:pPr>
      <w:r>
        <w:rPr>
          <w:i/>
          <w:iCs/>
          <w:sz w:val="20"/>
          <w:szCs w:val="20"/>
        </w:rPr>
        <w:t xml:space="preserve">Dans le fichier actuel : total usine (J11) = 48, mais le détail par atelier (D11:I11) n'a pas été renseigné.</w:t>
      </w:r>
    </w:p>
    <w:p>
      <w:pPr>
        <w:spacing w:after="60" w:before="140"/>
      </w:pPr>
      <w:r>
        <w:rPr>
          <w:b/>
          <w:bCs/>
          <w:color w:val="1F3864"/>
          <w:sz w:val="21"/>
          <w:szCs w:val="21"/>
        </w:rPr>
        <w:t xml:space="preserve">Non conformes</w:t>
      </w:r>
    </w:p>
    <w:p>
      <w:pPr>
        <w:spacing w:after="60" w:before="40"/>
      </w:pPr>
      <w:r>
        <w:rPr>
          <w:b/>
          <w:bCs/>
          <w:sz w:val="20"/>
          <w:szCs w:val="20"/>
        </w:rPr>
        <w:t xml:space="preserve">Attention : </w:t>
      </w:r>
      <w:r>
        <w:rPr>
          <w:sz w:val="20"/>
          <w:szCs w:val="20"/>
        </w:rPr>
        <w:t xml:space="preserve">seule la saisie par atelier existe (D12 à I12). Il n'y a pas de case pour un total direct : le total (J12) se calcule depuis le détail par atelier. Si tu ne remplis rien ici, le %NC affichera 0 même s'il y a eu des rebuts.</w:t>
      </w:r>
    </w:p>
    <w:p>
      <w:pPr>
        <w:spacing w:after="60" w:before="40"/>
      </w:pPr>
      <w:r>
        <w:rPr>
          <w:i/>
          <w:iCs/>
          <w:sz w:val="20"/>
          <w:szCs w:val="20"/>
        </w:rPr>
        <w:t xml:space="preserve">Dans le fichier actuel, rien n'est renseigné ici, donc 0 partout.</w:t>
      </w:r>
    </w:p>
    <w:p>
      <w:pPr>
        <w:spacing w:after="60" w:before="140"/>
      </w:pPr>
      <w:r>
        <w:rPr>
          <w:b/>
          <w:bCs/>
          <w:color w:val="1F3864"/>
          <w:sz w:val="21"/>
          <w:szCs w:val="21"/>
        </w:rPr>
        <w:t xml:space="preserve">Délai de l'OF traceur</w:t>
      </w:r>
    </w:p>
    <w:p>
      <w:pPr>
        <w:spacing w:after="60" w:before="40"/>
      </w:pPr>
      <w:r>
        <w:rPr>
          <w:i w:val="false"/>
          <w:iCs w:val="false"/>
          <w:sz w:val="20"/>
          <w:szCs w:val="20"/>
        </w:rPr>
        <w:t xml:space="preserve">Colonnes N et O : heure absolue notée à chaque poste, en minutes et secondes, dans l'ordre réel de passage du OF marqué de la pastille rouge.</w:t>
      </w:r>
    </w:p>
    <w:p>
      <w:pPr>
        <w:pStyle w:val="ListParagraph"/>
        <w:numPr>
          <w:ilvl w:val="0"/>
          <w:numId w:val="1"/>
        </w:numPr>
        <w:spacing w:after="30"/>
      </w:pPr>
      <w:r>
        <w:rPr>
          <w:sz w:val="20"/>
          <w:szCs w:val="20"/>
        </w:rPr>
        <w:t xml:space="preserve">Ligne 6 (Lanct.) : point de départ, obligatoire.</w:t>
      </w:r>
    </w:p>
    <w:p>
      <w:pPr>
        <w:pStyle w:val="ListParagraph"/>
        <w:numPr>
          <w:ilvl w:val="0"/>
          <w:numId w:val="1"/>
        </w:numPr>
        <w:spacing w:after="30"/>
      </w:pPr>
      <w:r>
        <w:rPr>
          <w:sz w:val="20"/>
          <w:szCs w:val="20"/>
        </w:rPr>
        <w:t xml:space="preserve">Lignes 7 à 10 : jusqu'à 4 postes intermédiaires. Le nombre et le nom des postes dépendent de la forme du produit suivi, ils ne sont pas fixes.</w:t>
      </w:r>
    </w:p>
    <w:p>
      <w:pPr>
        <w:pStyle w:val="ListParagraph"/>
        <w:numPr>
          <w:ilvl w:val="0"/>
          <w:numId w:val="1"/>
        </w:numPr>
        <w:spacing w:after="30"/>
      </w:pPr>
      <w:r>
        <w:rPr>
          <w:sz w:val="20"/>
          <w:szCs w:val="20"/>
        </w:rPr>
        <w:t xml:space="preserve">Ligne 11 (Contrôle) : dernier poste. C'est cette ligne, et uniquement celle-ci, qui alimente le tableau de bord (onglet Performances Simul. 1).</w:t>
      </w:r>
    </w:p>
    <w:p>
      <w:pPr>
        <w:spacing w:after="60" w:before="40"/>
      </w:pPr>
      <w:r>
        <w:rPr>
          <w:i/>
          <w:iCs/>
          <w:sz w:val="20"/>
          <w:szCs w:val="20"/>
        </w:rPr>
        <w:t xml:space="preserve">Le fichier calcule seul le temps écoulé depuis le Lancement (colonnes P et Q). Exemple avec les valeurs actuelles du fichier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266"/>
      </w:tblGrid>
      <w:tr>
        <w:trPr>
          <w:tblHeader/>
        </w:trPr>
        <w:tc>
          <w:tcPr>
            <w:tcW w:type="dxa" w:w="2600"/>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Poste</w:t>
            </w:r>
          </w:p>
        </w:tc>
        <w:tc>
          <w:tcPr>
            <w:tcW w:type="dxa" w:w="2600"/>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Heure absolue</w:t>
            </w:r>
          </w:p>
        </w:tc>
        <w:tc>
          <w:tcPr>
            <w:tcW w:type="dxa" w:w="5266"/>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Écart depuis le Lancement</w:t>
            </w:r>
          </w:p>
        </w:tc>
      </w:tr>
      <w:tr>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Lancement (réf.)</w:t>
            </w:r>
          </w:p>
        </w:tc>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11 min 00</w:t>
            </w:r>
          </w:p>
        </w:tc>
        <w:tc>
          <w:tcPr>
            <w:tcW w:type="dxa" w:w="5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0 min</w:t>
            </w:r>
          </w:p>
        </w:tc>
      </w:tr>
      <w:tr>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Rectangle</w:t>
            </w:r>
          </w:p>
        </w:tc>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13 min 00</w:t>
            </w:r>
          </w:p>
        </w:tc>
        <w:tc>
          <w:tcPr>
            <w:tcW w:type="dxa" w:w="5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2 min</w:t>
            </w:r>
          </w:p>
        </w:tc>
      </w:tr>
      <w:tr>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Étoile</w:t>
            </w:r>
          </w:p>
        </w:tc>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16 min 00</w:t>
            </w:r>
          </w:p>
        </w:tc>
        <w:tc>
          <w:tcPr>
            <w:tcW w:type="dxa" w:w="5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5 min</w:t>
            </w:r>
          </w:p>
        </w:tc>
      </w:tr>
      <w:tr>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Vague</w:t>
            </w:r>
          </w:p>
        </w:tc>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18 min 00</w:t>
            </w:r>
          </w:p>
        </w:tc>
        <w:tc>
          <w:tcPr>
            <w:tcW w:type="dxa" w:w="5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7 min</w:t>
            </w:r>
          </w:p>
        </w:tc>
      </w:tr>
      <w:tr>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Triangle</w:t>
            </w:r>
          </w:p>
        </w:tc>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22 min 00</w:t>
            </w:r>
          </w:p>
        </w:tc>
        <w:tc>
          <w:tcPr>
            <w:tcW w:type="dxa" w:w="5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11 min</w:t>
            </w:r>
          </w:p>
        </w:tc>
      </w:tr>
      <w:tr>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Contrôle (final)</w:t>
            </w:r>
          </w:p>
        </w:tc>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26 min 00</w:t>
            </w:r>
          </w:p>
        </w:tc>
        <w:tc>
          <w:tcPr>
            <w:tcW w:type="dxa" w:w="5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15 min</w:t>
            </w:r>
          </w:p>
        </w:tc>
      </w:tr>
    </w:tbl>
    <w:p>
      <w:pPr>
        <w:spacing w:after="60" w:before="40"/>
      </w:pPr>
      <w:r>
        <w:rPr>
          <w:i/>
          <w:iCs/>
          <w:sz w:val="20"/>
          <w:szCs w:val="20"/>
        </w:rPr>
        <w:t xml:space="preserve">Le délai retenu pour le tableau de bord est celui de la ligne Contrôle : 15 minutes.</w:t>
      </w:r>
    </w:p>
    <w:p>
      <w:pPr>
        <w:spacing w:after="60" w:before="140"/>
      </w:pPr>
      <w:r>
        <w:rPr>
          <w:b/>
          <w:bCs/>
          <w:color w:val="1F3864"/>
          <w:sz w:val="21"/>
          <w:szCs w:val="21"/>
        </w:rPr>
        <w:t xml:space="preserve">Stocks</w:t>
      </w:r>
    </w:p>
    <w:p>
      <w:pPr>
        <w:spacing w:after="60" w:before="40"/>
      </w:pPr>
      <w:r>
        <w:rPr>
          <w:i w:val="false"/>
          <w:iCs w:val="false"/>
          <w:sz w:val="20"/>
          <w:szCs w:val="20"/>
        </w:rPr>
        <w:t xml:space="preserve">Cellules L15 à R15, une par poste (Croix, Étoile, Ovale, Rect., Triangle, Vague, Contrôle). Le total (S15) se calcule seul.</w:t>
      </w:r>
    </w:p>
    <w:p>
      <w:pPr>
        <w:spacing w:after="60" w:before="40"/>
      </w:pPr>
      <w:r>
        <w:rPr>
          <w:i/>
          <w:iCs/>
          <w:sz w:val="20"/>
          <w:szCs w:val="20"/>
        </w:rPr>
        <w:t xml:space="preserve">Dans le fichier actuel : 6, 8, 3, 4, 3, 4, 4 → total 32.</w:t>
      </w:r>
    </w:p>
    <w:p>
      <w:pPr>
        <w:spacing w:after="100" w:before="260"/>
      </w:pPr>
      <w:r>
        <w:rPr>
          <w:b/>
          <w:bCs/>
          <w:color w:val="2E74B5"/>
          <w:sz w:val="26"/>
          <w:szCs w:val="26"/>
        </w:rPr>
        <w:t xml:space="preserve">3. Lire les résultats (onglet « Performances Simul. 1 »)</w:t>
      </w:r>
    </w:p>
    <w:p>
      <w:pPr>
        <w:spacing w:after="60" w:before="40"/>
      </w:pPr>
      <w:r>
        <w:rPr>
          <w:i w:val="false"/>
          <w:iCs w:val="false"/>
          <w:sz w:val="20"/>
          <w:szCs w:val="20"/>
        </w:rPr>
        <w:t xml:space="preserve">Ce tableau compare trois lignes : Paleo (référence), Concur. (concurrent) et Sim. 1 (ta simulation). Chaque indicateur brut est converti en une unité « entreprise », avec une formule fixe.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600"/>
        <w:gridCol w:w="3266"/>
      </w:tblGrid>
      <w:tr>
        <w:trPr>
          <w:tblHeader/>
        </w:trPr>
        <w:tc>
          <w:tcPr>
            <w:tcW w:type="dxa" w:w="3000"/>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Indicateur brut</w:t>
            </w:r>
          </w:p>
        </w:tc>
        <w:tc>
          <w:tcPr>
            <w:tcW w:type="dxa" w:w="1600"/>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Conversion</w:t>
            </w:r>
          </w:p>
        </w:tc>
        <w:tc>
          <w:tcPr>
            <w:tcW w:type="dxa" w:w="2600"/>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Formule</w:t>
            </w:r>
          </w:p>
        </w:tc>
        <w:tc>
          <w:tcPr>
            <w:tcW w:type="dxa" w:w="3266"/>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Exemple (Sim. 1)</w:t>
            </w:r>
          </w:p>
        </w:tc>
      </w:tr>
      <w:tr>
        <w:tc>
          <w:tcPr>
            <w:tcW w:type="dxa" w:w="30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Productivité (temps x homme par pièce bonne)</w:t>
            </w:r>
          </w:p>
        </w:tc>
        <w:tc>
          <w:tcPr>
            <w:tcW w:type="dxa" w:w="1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k€ (coûts)</w:t>
            </w:r>
          </w:p>
        </w:tc>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 10 + productivité</w:t>
            </w:r>
          </w:p>
        </w:tc>
        <w:tc>
          <w:tcPr>
            <w:tcW w:type="dxa" w:w="3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0 → 10,0 k€ (voir remarque)</w:t>
            </w:r>
          </w:p>
        </w:tc>
      </w:tr>
      <w:tr>
        <w:tc>
          <w:tcPr>
            <w:tcW w:type="dxa" w:w="30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Délai OF traceur (minutes)</w:t>
            </w:r>
          </w:p>
        </w:tc>
        <w:tc>
          <w:tcPr>
            <w:tcW w:type="dxa" w:w="1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Jours</w:t>
            </w:r>
          </w:p>
        </w:tc>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 60 + 5 × délai</w:t>
            </w:r>
          </w:p>
        </w:tc>
        <w:tc>
          <w:tcPr>
            <w:tcW w:type="dxa" w:w="3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15 → 135 jours</w:t>
            </w:r>
          </w:p>
        </w:tc>
      </w:tr>
      <w:tr>
        <w:tc>
          <w:tcPr>
            <w:tcW w:type="dxa" w:w="30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 non conformes</w:t>
            </w:r>
          </w:p>
        </w:tc>
        <w:tc>
          <w:tcPr>
            <w:tcW w:type="dxa" w:w="1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Satisfaction</w:t>
            </w:r>
          </w:p>
        </w:tc>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 max(100 − 500 × %NC ; 0)</w:t>
            </w:r>
          </w:p>
        </w:tc>
        <w:tc>
          <w:tcPr>
            <w:tcW w:type="dxa" w:w="3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0 % → 100 (voir remarque)</w:t>
            </w:r>
          </w:p>
        </w:tc>
      </w:tr>
      <w:tr>
        <w:tc>
          <w:tcPr>
            <w:tcW w:type="dxa" w:w="30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Stock total</w:t>
            </w:r>
          </w:p>
        </w:tc>
        <w:tc>
          <w:tcPr>
            <w:tcW w:type="dxa" w:w="1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M€</w:t>
            </w:r>
          </w:p>
        </w:tc>
        <w:tc>
          <w:tcPr>
            <w:tcW w:type="dxa" w:w="26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 8 + 0,4 × stock</w:t>
            </w:r>
          </w:p>
        </w:tc>
        <w:tc>
          <w:tcPr>
            <w:tcW w:type="dxa" w:w="32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32 → 20,8 M€</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45F06" w:sz="2"/>
              <w:left w:val="single" w:color="B45F06" w:sz="2"/>
              <w:bottom w:val="single" w:color="B45F06" w:sz="2"/>
              <w:right w:val="single" w:color="B45F06" w:sz="2"/>
            </w:tcBorders>
            <w:shd w:fill="FCE4D6" w:val="clear"/>
            <w:tcMar>
              <w:top w:type="dxa" w:w="100"/>
              <w:left w:type="dxa" w:w="150"/>
              <w:bottom w:type="dxa" w:w="100"/>
              <w:right w:type="dxa" w:w="150"/>
            </w:tcMar>
          </w:tcPr>
          <w:p>
            <w:r>
              <w:rPr>
                <w:b/>
                <w:bCs/>
                <w:color w:val="B45F06"/>
                <w:sz w:val="20"/>
                <w:szCs w:val="20"/>
              </w:rPr>
              <w:t xml:space="preserve">Remarque sur l'exemple actuel</w:t>
            </w:r>
          </w:p>
          <w:p>
            <w:pPr>
              <w:spacing w:before="40"/>
            </w:pPr>
            <w:r>
              <w:rPr>
                <w:sz w:val="19"/>
                <w:szCs w:val="19"/>
              </w:rPr>
              <w:t xml:space="preserve">Le 0 sur la productivité et le 100 sur la satisfaction ne sont pas des résultats à proprement parler : ils viennent du fait que le Temps d'ouverture (E4/G4) et les Non conformes (D12:I12) n'ont pas été saisis dans ce fichier. Une fois ces cellules remplies, ces deux valeurs changeront.</w:t>
            </w:r>
          </w:p>
        </w:tc>
      </w:tr>
    </w:tbl>
    <w:p>
      <w:pPr>
        <w:spacing w:after="100" w:before="260"/>
      </w:pPr>
      <w:r>
        <w:rPr>
          <w:b/>
          <w:bCs/>
          <w:color w:val="2E74B5"/>
          <w:sz w:val="26"/>
          <w:szCs w:val="26"/>
        </w:rPr>
        <w:t xml:space="preserve">4. Les autres onglets, en bref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4566"/>
      </w:tblGrid>
      <w:tr>
        <w:trPr>
          <w:tblHeader/>
        </w:trPr>
        <w:tc>
          <w:tcPr>
            <w:tcW w:type="dxa" w:w="1700"/>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Onglet</w:t>
            </w:r>
          </w:p>
        </w:tc>
        <w:tc>
          <w:tcPr>
            <w:tcW w:type="dxa" w:w="4200"/>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Saisie manuelle nécessaire</w:t>
            </w:r>
          </w:p>
        </w:tc>
        <w:tc>
          <w:tcPr>
            <w:tcW w:type="dxa" w:w="4566"/>
            <w:tcBorders>
              <w:top w:val="single" w:color="2E74B5" w:sz="2"/>
              <w:left w:val="single" w:color="2E74B5" w:sz="2"/>
              <w:bottom w:val="single" w:color="2E74B5" w:sz="2"/>
              <w:right w:val="single" w:color="2E74B5" w:sz="2"/>
            </w:tcBorders>
            <w:shd w:fill="2E74B5" w:val="clear"/>
            <w:tcMar>
              <w:top w:type="dxa" w:w="60"/>
              <w:left w:type="dxa" w:w="100"/>
              <w:bottom w:type="dxa" w:w="60"/>
              <w:right w:type="dxa" w:w="100"/>
            </w:tcMar>
            <w:vAlign w:val="center"/>
          </w:tcPr>
          <w:p>
            <w:r>
              <w:rPr>
                <w:b/>
                <w:bCs/>
                <w:color w:val="FFFFFF"/>
                <w:sz w:val="18"/>
                <w:szCs w:val="18"/>
              </w:rPr>
              <w:t xml:space="preserve">Ce qu'il calcule</w:t>
            </w:r>
          </w:p>
        </w:tc>
      </w:tr>
      <w:tr>
        <w:tc>
          <w:tcPr>
            <w:tcW w:type="dxa" w:w="17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Qualité</w:t>
            </w:r>
          </w:p>
        </w:tc>
        <w:tc>
          <w:tcPr>
            <w:tcW w:type="dxa" w:w="42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Aucune</w:t>
            </w:r>
          </w:p>
        </w:tc>
        <w:tc>
          <w:tcPr>
            <w:tcW w:type="dxa" w:w="45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Reprend automatiquement le %NC par atelier depuis Données Simulation 1. Pur affichage.</w:t>
            </w:r>
          </w:p>
        </w:tc>
      </w:tr>
      <w:tr>
        <w:tc>
          <w:tcPr>
            <w:tcW w:type="dxa" w:w="17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Takt Time</w:t>
            </w:r>
          </w:p>
        </w:tc>
        <w:tc>
          <w:tcPr>
            <w:tcW w:type="dxa" w:w="42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 de charge par atelier (ligne 14), à mesurer ou estimer toi-même, cette valeur n'est fournie nulle part dans le fichier</w:t>
            </w:r>
          </w:p>
        </w:tc>
        <w:tc>
          <w:tcPr>
            <w:tcW w:type="dxa" w:w="45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Le takt time par atelier (à partir des ventes/an et des effectifs) et le temps de cycle réel.</w:t>
            </w:r>
          </w:p>
        </w:tc>
      </w:tr>
      <w:tr>
        <w:tc>
          <w:tcPr>
            <w:tcW w:type="dxa" w:w="17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TRG</w:t>
            </w:r>
          </w:p>
        </w:tc>
        <w:tc>
          <w:tcPr>
            <w:tcW w:type="dxa" w:w="42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Temps gamme par atelier (ligne 6), une valeur de référence du jeu que je n'ai trouvée ni dans le classeur ni dans le PDF fourni</w:t>
            </w:r>
          </w:p>
        </w:tc>
        <w:tc>
          <w:tcPr>
            <w:tcW w:type="dxa" w:w="45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Le TRG (taux de rendement global) par atelier, à partir de la production réelle.</w:t>
            </w:r>
          </w:p>
        </w:tc>
      </w:tr>
      <w:tr>
        <w:tc>
          <w:tcPr>
            <w:tcW w:type="dxa" w:w="17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Productivité</w:t>
            </w:r>
          </w:p>
        </w:tc>
        <w:tc>
          <w:tcPr>
            <w:tcW w:type="dxa" w:w="4200"/>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Tableau séparé (ligne 4) : Valeur ajoutée, Attente, Transports, Rebuts/reprises, Opération superflue, Surproduction</w:t>
            </w:r>
          </w:p>
        </w:tc>
        <w:tc>
          <w:tcPr>
            <w:tcW w:type="dxa" w:w="4566"/>
            <w:tcBorders>
              <w:top w:val="single" w:color="999999" w:sz="2"/>
              <w:left w:val="single" w:color="999999" w:sz="2"/>
              <w:bottom w:val="single" w:color="999999" w:sz="2"/>
              <w:right w:val="single" w:color="999999" w:sz="2"/>
            </w:tcBorders>
            <w:tcMar>
              <w:top w:type="dxa" w:w="50"/>
              <w:left w:type="dxa" w:w="100"/>
              <w:bottom w:type="dxa" w:w="50"/>
              <w:right w:type="dxa" w:w="100"/>
            </w:tcMar>
            <w:vAlign w:val="center"/>
          </w:tcPr>
          <w:p>
            <w:r>
              <w:rPr>
                <w:sz w:val="18"/>
                <w:szCs w:val="18"/>
              </w:rPr>
              <w:t xml:space="preserve">Le total automatique de ces pertes de temps. Sert à illustrer l'exposé de l'équipe Productivité, indépendant du reste du classeur.</w:t>
            </w:r>
          </w:p>
        </w:tc>
      </w:tr>
    </w:tbl>
    <w:p>
      <w:pPr>
        <w:spacing w:after="100" w:before="260"/>
      </w:pPr>
      <w:r>
        <w:rPr>
          <w:b/>
          <w:bCs/>
          <w:color w:val="2E74B5"/>
          <w:sz w:val="26"/>
          <w:szCs w:val="26"/>
        </w:rPr>
        <w:t xml:space="preserve">5. Points de vigilance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45F06" w:sz="2"/>
              <w:left w:val="single" w:color="B45F06" w:sz="2"/>
              <w:bottom w:val="single" w:color="B45F06" w:sz="2"/>
              <w:right w:val="single" w:color="B45F06" w:sz="2"/>
            </w:tcBorders>
            <w:shd w:fill="FCE4D6" w:val="clear"/>
            <w:tcMar>
              <w:top w:type="dxa" w:w="100"/>
              <w:left w:type="dxa" w:w="150"/>
              <w:bottom w:type="dxa" w:w="100"/>
              <w:right w:type="dxa" w:w="150"/>
            </w:tcMar>
          </w:tcPr>
          <w:p>
            <w:r>
              <w:rPr>
                <w:b/>
                <w:bCs/>
                <w:color w:val="B45F06"/>
                <w:sz w:val="20"/>
                <w:szCs w:val="20"/>
              </w:rPr>
              <w:t xml:space="preserve">Avant le 16 septembre</w:t>
            </w:r>
          </w:p>
          <w:p>
            <w:pPr>
              <w:spacing w:before="40"/>
            </w:pPr>
            <w:r>
              <w:rPr>
                <w:sz w:val="19"/>
                <w:szCs w:val="19"/>
              </w:rPr>
              <w:t xml:space="preserve">Quantité produite : le total usine (J11) et le détail par atelier (D11:I11) sont indépendants. Remplis les deux, sinon le Takt Time par atelier restera à 0 même si le total usine est correct.</w:t>
            </w:r>
          </w:p>
          <w:p>
            <w:pPr>
              <w:spacing w:before="40"/>
            </w:pPr>
            <w:r>
              <w:rPr>
                <w:sz w:val="19"/>
                <w:szCs w:val="19"/>
              </w:rPr>
              <w:t xml:space="preserve">Non conformes : uniquement par atelier (D12:I12), pas de case de total direct.</w:t>
            </w:r>
          </w:p>
          <w:p>
            <w:pPr>
              <w:spacing w:before="40"/>
            </w:pPr>
            <w:r>
              <w:rPr>
                <w:sz w:val="19"/>
                <w:szCs w:val="19"/>
              </w:rPr>
              <w:t xml:space="preserve">Le fichier que tu m'as donné a des données partielles : effectifs, délai OF traceur et stocks sont renseignés, mais pas le temps d'ouverture ni les non conformes. Je ne sais pas si c'est un reliquat d'une séance précédente ou une démo laissée volontairement. À vérifier et à remettre à zéro si besoin avant le 16 septembre.</w:t>
            </w:r>
          </w:p>
          <w:p>
            <w:pPr>
              <w:spacing w:before="40"/>
            </w:pPr>
            <w:r>
              <w:rPr>
                <w:sz w:val="19"/>
                <w:szCs w:val="19"/>
              </w:rPr>
              <w:t xml:space="preserve">Temps gamme (onglet TRG) : je ne l'invente pas, cette valeur doit venir du matériel physique du jeu ou de la documentation CIPE. Si tu comptes utiliser l'onglet TRG le 16 septembre, prévois de la récupérer avant.</w:t>
            </w:r>
          </w:p>
        </w:tc>
      </w:tr>
    </w:tbl>
    <w:p>
      <w:pPr>
        <w:spacing w:before="200"/>
      </w:pPr>
      <w:r>
        <w:rPr>
          <w:i/>
          <w:iCs/>
          <w:color w:val="777777"/>
          <w:sz w:val="16"/>
          <w:szCs w:val="16"/>
        </w:rPr>
        <w:t xml:space="preserve">Formules et cellules vérifiées directement dans Tableau_de_bord.xlsx (lecture des formules, pas seulement des valeurs affichées).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2026-09-15T10:12:08.316Z</dcterms:created>
  <dcterms:modified xsi:type="dcterms:W3CDTF">2026-09-15T10:12:08.316Z</dcterms:modified>
</cp:coreProperties>
</file>

<file path=docProps/custom.xml><?xml version="1.0" encoding="utf-8"?>
<Properties xmlns="http://schemas.openxmlformats.org/officeDocument/2006/custom-properties" xmlns:vt="http://schemas.openxmlformats.org/officeDocument/2006/docPropsVTypes"/>
</file>