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120" w:before="0"/>
        <w:jc w:val="center"/>
      </w:pPr>
      <w:r>
        <w:rPr>
          <w:rFonts w:ascii="Arial" w:cs="Arial" w:eastAsia="Arial" w:hAnsi="Arial"/>
          <w:b/>
          <w:bCs/>
          <w:color w:val="0D3B66"/>
          <w:sz w:val="60"/>
          <w:szCs w:val="60"/>
        </w:rPr>
        <w:t xml:space="preserve">JEU DU KAIZEN</w:t>
      </w:r>
    </w:p>
    <w:p>
      <w:pPr>
        <w:spacing w:after="80" w:before="0"/>
        <w:jc w:val="center"/>
      </w:pPr>
      <w:r>
        <w:rPr>
          <w:rFonts w:ascii="Arial" w:cs="Arial" w:eastAsia="Arial" w:hAnsi="Arial"/>
          <w:b/>
          <w:bCs/>
          <w:color w:val="E65100"/>
          <w:sz w:val="40"/>
          <w:szCs w:val="40"/>
        </w:rPr>
        <w:t xml:space="preserve">GUIDE DE L'ANIMATEUR</w:t>
      </w:r>
    </w:p>
    <w:p>
      <w:pPr>
        <w:spacing w:after="400" w:before="0"/>
        <w:jc w:val="center"/>
      </w:pPr>
      <w:r>
        <w:rPr>
          <w:rFonts w:ascii="Arial" w:cs="Arial" w:eastAsia="Arial" w:hAnsi="Arial"/>
          <w:color w:val="455A64"/>
          <w:sz w:val="28"/>
          <w:szCs w:val="28"/>
        </w:rPr>
        <w:t xml:space="preserve">► Module 2 – Les conditions de réussite du Kaizen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B66" w:sz="6" w:space="1"/>
              <w:left w:val="single" w:color="0D3B66" w:sz="6" w:space="1"/>
              <w:bottom w:val="single" w:color="0D3B66" w:sz="6" w:space="1"/>
              <w:right w:val="single" w:color="0D3B66" w:sz="6" w:space="1"/>
            </w:tcBorders>
            <w:shd w:fill="E8F1FB" w:val="clear"/>
            <w:tcMar>
              <w:top w:type="dxa" w:w="200"/>
              <w:left w:type="dxa" w:w="300"/>
              <w:bottom w:type="dxa" w:w="200"/>
              <w:right w:type="dxa" w:w="300"/>
            </w:tcMar>
          </w:tcPr>
          <w:p>
            <w:pPr>
              <w:spacing w:after="80" w:before="0"/>
              <w:jc w:val="center"/>
            </w:pPr>
            <w:r>
              <w:rPr>
                <w:rFonts w:ascii="Arial" w:cs="Arial" w:eastAsia="Arial" w:hAnsi="Arial"/>
                <w:b/>
                <w:bCs/>
                <w:color w:val="0D3B66"/>
                <w:sz w:val="24"/>
                <w:szCs w:val="24"/>
              </w:rPr>
              <w:t xml:space="preserve">Public cible : Étudiants niveau Bachelor</w:t>
            </w:r>
          </w:p>
          <w:p>
            <w:pPr>
              <w:spacing w:after="80" w:before="0"/>
              <w:jc w:val="center"/>
            </w:pPr>
            <w:r>
              <w:rPr>
                <w:rFonts w:ascii="Arial" w:cs="Arial" w:eastAsia="Arial" w:hAnsi="Arial"/>
                <w:color w:val="455A64"/>
                <w:sz w:val="21"/>
                <w:szCs w:val="21"/>
              </w:rPr>
              <w:t xml:space="preserve">Filières Commerce, Chargés d'affaires, Management</w:t>
            </w:r>
          </w:p>
          <w:p>
            <w:pPr>
              <w:spacing w:after="0" w:before="0"/>
              <w:jc w:val="center"/>
            </w:pPr>
            <w:r>
              <w:rPr>
                <w:rFonts w:ascii="Arial" w:cs="Arial" w:eastAsia="Arial" w:hAnsi="Arial"/>
                <w:color w:val="455A64"/>
                <w:sz w:val="20"/>
                <w:szCs w:val="20"/>
              </w:rPr>
              <w:t xml:space="preserve">Durée recommandée : 2h30 à 3h  |  Prérequis : Module 1 complété</w:t>
            </w:r>
          </w:p>
        </w:tc>
      </w:tr>
    </w:tbl>
    <w:p>
      <w:pPr>
        <w:spacing w:after="0" w:before="300"/>
      </w:pPr>
      <w:r>
        <w:t xml:space="preserve"/>
      </w:r>
    </w:p>
    <w:p>
      <w:pPr>
        <w:jc w:val="center"/>
      </w:pPr>
      <w:r>
        <w:rPr>
          <w:rFonts w:ascii="Arial" w:cs="Arial" w:eastAsia="Arial" w:hAnsi="Arial"/>
          <w:i/>
          <w:iCs/>
          <w:color w:val="455A64"/>
          <w:sz w:val="21"/>
          <w:szCs w:val="21"/>
        </w:rPr>
        <w:t xml:space="preserve">« Un outil sans adhésion humaine n'est qu'un formulaire de plus. »</w:t>
      </w:r>
    </w:p>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0. Pourquoi ce module existe – et ce qu'il change</w:t>
      </w:r>
    </w:p>
    <w:p>
      <w:pPr>
        <w:spacing w:after="80" w:before="80"/>
      </w:pPr>
      <w:r>
        <w:rPr>
          <w:rFonts w:ascii="Arial" w:cs="Arial" w:eastAsia="Arial" w:hAnsi="Arial"/>
          <w:color w:val="212121"/>
          <w:sz w:val="22"/>
          <w:szCs w:val="22"/>
        </w:rPr>
        <w:t xml:space="preserve">Le Module 1 a donné aux étudiants des outils pour résoudre un problème. Mais voici ce que l'expérience terrain démontre régulièrement :</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single" w:color="B71C1C" w:sz="6" w:space="1"/>
              <w:left w:val="single" w:color="B71C1C" w:sz="6" w:space="1"/>
              <w:bottom w:val="single" w:color="B71C1C" w:sz="6" w:space="1"/>
              <w:right w:val="single" w:color="B71C1C" w:sz="6" w:space="1"/>
            </w:tcBorders>
            <w:shd w:fill="B71C1C" w:val="clear"/>
            <w:tcMar>
              <w:top w:type="dxa" w:w="0"/>
              <w:left w:type="dxa" w:w="0"/>
              <w:bottom w:type="dxa" w:w="0"/>
              <w:right w:type="dxa" w:w="0"/>
            </w:tcMar>
          </w:tcPr>
          <w:p>
            <w:r>
              <w:t xml:space="preserve"/>
            </w:r>
          </w:p>
        </w:tc>
        <w:tc>
          <w:tcPr>
            <w:tcW w:type="dxa" w:w="8866"/>
            <w:tcBorders>
              <w:top w:val="single" w:color="B71C1C" w:sz="2"/>
              <w:left w:val="none" w:color="FFFFFF" w:sz="0"/>
              <w:bottom w:val="single" w:color="B71C1C" w:sz="2"/>
              <w:right w:val="single" w:color="B71C1C" w:sz="2"/>
            </w:tcBorders>
            <w:shd w:fill="FFEBEE" w:val="clear"/>
            <w:tcMar>
              <w:top w:type="dxa" w:w="100"/>
              <w:left w:type="dxa" w:w="200"/>
              <w:bottom w:type="dxa" w:w="100"/>
              <w:right w:type="dxa" w:w="160"/>
            </w:tcMar>
          </w:tcPr>
          <w:p>
            <w:pPr>
              <w:spacing w:after="60" w:before="0"/>
            </w:pPr>
            <w:r>
              <w:rPr>
                <w:rFonts w:ascii="Arial" w:cs="Arial" w:eastAsia="Arial" w:hAnsi="Arial"/>
                <w:b/>
                <w:bCs/>
                <w:color w:val="B71C1C"/>
                <w:sz w:val="21"/>
                <w:szCs w:val="21"/>
              </w:rPr>
              <w:t xml:space="preserve">Le paradoxe des outils Kaizen</w:t>
            </w:r>
          </w:p>
          <w:p>
            <w:pPr>
              <w:spacing w:after="20" w:before="20"/>
            </w:pPr>
            <w:r>
              <w:rPr>
                <w:rFonts w:ascii="Arial" w:cs="Arial" w:eastAsia="Arial" w:hAnsi="Arial"/>
                <w:color w:val="212121"/>
                <w:sz w:val="21"/>
                <w:szCs w:val="21"/>
              </w:rPr>
              <w:t xml:space="preserve">Des équipes maîtrisent parfaitement le QQOQCP, le Pareto, l'Ishikawa…</w:t>
            </w:r>
          </w:p>
          <w:p>
            <w:pPr>
              <w:spacing w:after="20" w:before="20"/>
            </w:pPr>
            <w:r>
              <w:rPr>
                <w:rFonts w:ascii="Arial" w:cs="Arial" w:eastAsia="Arial" w:hAnsi="Arial"/>
                <w:color w:val="212121"/>
                <w:sz w:val="21"/>
                <w:szCs w:val="21"/>
              </w:rPr>
              <w:t xml:space="preserve">…et pourtant, leurs groupes d'amélioration échouent dans 60 à 70% des cas.</w:t>
            </w:r>
          </w:p>
          <w:p>
            <w:pPr>
              <w:spacing w:after="20" w:before="20"/>
            </w:pPr>
            <w:r>
              <w:rPr>
                <w:rFonts w:ascii="Arial" w:cs="Arial" w:eastAsia="Arial" w:hAnsi="Arial"/>
                <w:color w:val="212121"/>
                <w:sz w:val="21"/>
                <w:szCs w:val="21"/>
              </w:rPr>
              <w:t xml:space="preserve">Non par manque de méthode. Mais par manque de management, de motivation et de cadre organisationnel.</w:t>
            </w:r>
          </w:p>
        </w:tc>
      </w:tr>
    </w:tbl>
    <w:p>
      <w:pPr>
        <w:spacing w:after="0" w:before="120"/>
      </w:pPr>
      <w:r>
        <w:t xml:space="preserve"/>
      </w:r>
    </w:p>
    <w:p>
      <w:pPr>
        <w:spacing w:after="80" w:before="80"/>
      </w:pPr>
      <w:r>
        <w:rPr>
          <w:rFonts w:ascii="Arial" w:cs="Arial" w:eastAsia="Arial" w:hAnsi="Arial"/>
          <w:color w:val="212121"/>
          <w:sz w:val="22"/>
          <w:szCs w:val="22"/>
        </w:rPr>
        <w:t xml:space="preserve">Le Module 2 explore exactement ces raisons d'échec. Il place les étudiants dans la posture de ceux qui doivent faire marcher le système : managers, responsables d'équipe, chargés de mission.</w:t>
      </w:r>
    </w:p>
    <w:p>
      <w:pPr>
        <w:spacing w:after="0" w:before="80"/>
      </w:pPr>
      <w:r>
        <w:t xml:space="preserve"/>
      </w:r>
    </w:p>
    <w:p>
      <w:pPr>
        <w:spacing w:after="80" w:before="80"/>
      </w:pPr>
      <w:r>
        <w:rPr>
          <w:rFonts w:ascii="Arial" w:cs="Arial" w:eastAsia="Arial" w:hAnsi="Arial"/>
          <w:color w:val="212121"/>
          <w:sz w:val="22"/>
          <w:szCs w:val="22"/>
        </w:rPr>
        <w:t xml:space="preserve">C'est un module stratégique, humain et organisationnel. Il est plus complexe que le Module 1 car les réponses sont rarement binaires.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B66" w:sz="6" w:space="1"/>
              <w:left w:val="single" w:color="0D3B66" w:sz="6" w:space="1"/>
              <w:bottom w:val="none" w:color="FFFFFF" w:sz="0"/>
              <w:right w:val="single" w:color="0D3B66" w:sz="6" w:space="1"/>
            </w:tcBorders>
            <w:shd w:fill="0D3B66" w:val="clear"/>
            <w:tcMar>
              <w:top w:type="dxa" w:w="80"/>
              <w:left w:type="dxa" w:w="180"/>
              <w:bottom w:type="dxa" w:w="80"/>
              <w:right w:type="dxa" w:w="180"/>
            </w:tcMar>
          </w:tcPr>
          <w:p>
            <w:r>
              <w:rPr>
                <w:rFonts w:ascii="Arial" w:cs="Arial" w:eastAsia="Arial" w:hAnsi="Arial"/>
                <w:b/>
                <w:bCs/>
                <w:color w:val="FFFFFF"/>
                <w:sz w:val="22"/>
                <w:szCs w:val="22"/>
              </w:rPr>
              <w:t xml:space="preserve">🎯 Ce que ce module apporte spécifiquement aux étudiants Bachelor Commerce / Chargés d'affaires</w:t>
            </w:r>
          </w:p>
        </w:tc>
      </w:tr>
      <w:tr>
        <w:tc>
          <w:tcPr>
            <w:tcBorders>
              <w:top w:val="none" w:color="FFFFFF" w:sz="0"/>
              <w:left w:val="single" w:color="0D3B66" w:sz="6" w:space="1"/>
              <w:bottom w:val="single" w:color="0D3B66" w:sz="6" w:space="1"/>
              <w:right w:val="single" w:color="0D3B66" w:sz="6" w:space="1"/>
            </w:tcBorders>
            <w:shd w:fill="E8F1FB"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 Comprendre pourquoi le changement échoue – compétence clé dans tous les projets commerciaux et organisationnels.</w:t>
            </w:r>
          </w:p>
          <w:p>
            <w:pPr>
              <w:spacing w:after="30" w:before="30"/>
            </w:pPr>
            <w:r>
              <w:rPr>
                <w:rFonts w:ascii="Arial" w:cs="Arial" w:eastAsia="Arial" w:hAnsi="Arial"/>
                <w:color w:val="212121"/>
                <w:sz w:val="21"/>
                <w:szCs w:val="21"/>
              </w:rPr>
              <w:t xml:space="preserve">• Maîtriser les leviers de motivation non financiers – essentiel en management et en relation client.</w:t>
            </w:r>
          </w:p>
          <w:p>
            <w:pPr>
              <w:spacing w:after="30" w:before="30"/>
            </w:pPr>
            <w:r>
              <w:rPr>
                <w:rFonts w:ascii="Arial" w:cs="Arial" w:eastAsia="Arial" w:hAnsi="Arial"/>
                <w:color w:val="212121"/>
                <w:sz w:val="21"/>
                <w:szCs w:val="21"/>
              </w:rPr>
              <w:t xml:space="preserve">• Savoir construire et défendre un argumentaire de déploiement Kaizen face à une direction.</w:t>
            </w:r>
          </w:p>
          <w:p>
            <w:pPr>
              <w:spacing w:after="30" w:before="30"/>
            </w:pPr>
            <w:r>
              <w:rPr>
                <w:rFonts w:ascii="Arial" w:cs="Arial" w:eastAsia="Arial" w:hAnsi="Arial"/>
                <w:color w:val="212121"/>
                <w:sz w:val="21"/>
                <w:szCs w:val="21"/>
              </w:rPr>
              <w:t xml:space="preserve">• Distinguer ce qui relève du système (process, outils) et ce qui relève de l'humain (adhésion, culture).</w:t>
            </w:r>
          </w:p>
          <w:p>
            <w:pPr>
              <w:spacing w:after="30" w:before="30"/>
            </w:pPr>
            <w:r>
              <w:rPr>
                <w:rFonts w:ascii="Arial" w:cs="Arial" w:eastAsia="Arial" w:hAnsi="Arial"/>
                <w:color w:val="212121"/>
                <w:sz w:val="21"/>
                <w:szCs w:val="21"/>
              </w:rPr>
              <w:t xml:space="preserve">• Développer une posture de facilitateur-diplomate, très proche du rôle de chargé d'affaires.</w:t>
            </w:r>
          </w:p>
        </w:tc>
      </w:tr>
    </w:tbl>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1. Cadrer les enjeux – La mise en situation initiale</w:t>
      </w:r>
    </w:p>
    <w:p>
      <w:pPr>
        <w:spacing w:after="80" w:before="80"/>
      </w:pPr>
      <w:r>
        <w:rPr>
          <w:rFonts w:ascii="Arial" w:cs="Arial" w:eastAsia="Arial" w:hAnsi="Arial"/>
          <w:color w:val="212121"/>
          <w:sz w:val="22"/>
          <w:szCs w:val="22"/>
        </w:rPr>
        <w:t xml:space="preserve">Avec un public Bachelor, ne commencez pas par du contenu. Commencez par un problème à résoudre. Ils doivent sentir l'enjeu avant de recevoir les outils pour y répondre.</w:t>
      </w:r>
    </w:p>
    <w:p>
      <w:pPr>
        <w:spacing w:after="0" w:before="80"/>
      </w:pPr>
      <w:r>
        <w:t xml:space="preserve"/>
      </w:r>
    </w:p>
    <w:p>
      <w:pPr>
        <w:pStyle w:val="Heading2"/>
        <w:spacing w:after="100" w:before="260"/>
      </w:pPr>
      <w:r>
        <w:rPr>
          <w:rFonts w:ascii="Arial" w:cs="Arial" w:eastAsia="Arial" w:hAnsi="Arial"/>
          <w:b/>
          <w:bCs/>
          <w:color w:val="E65100"/>
          <w:sz w:val="26"/>
          <w:szCs w:val="26"/>
        </w:rPr>
        <w:t xml:space="preserve">1.1 La mise en tension initiale (10 minutes)</w:t>
      </w:r>
    </w:p>
    <w:p>
      <w:pPr>
        <w:spacing w:after="80" w:before="80"/>
      </w:pPr>
      <w:r>
        <w:rPr>
          <w:rFonts w:ascii="Arial" w:cs="Arial" w:eastAsia="Arial" w:hAnsi="Arial"/>
          <w:color w:val="212121"/>
          <w:sz w:val="22"/>
          <w:szCs w:val="22"/>
        </w:rPr>
        <w:t xml:space="preserve">Présentez ce cas fil rouge avant toute explication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55A64" w:sz="6" w:space="1"/>
              <w:left w:val="single" w:color="455A64" w:sz="6" w:space="1"/>
              <w:bottom w:val="none" w:color="FFFFFF" w:sz="0"/>
              <w:right w:val="single" w:color="455A64" w:sz="6" w:space="1"/>
            </w:tcBorders>
            <w:shd w:fill="455A64" w:val="clear"/>
            <w:tcMar>
              <w:top w:type="dxa" w:w="80"/>
              <w:left w:type="dxa" w:w="180"/>
              <w:bottom w:type="dxa" w:w="80"/>
              <w:right w:type="dxa" w:w="180"/>
            </w:tcMar>
          </w:tcPr>
          <w:p>
            <w:r>
              <w:rPr>
                <w:rFonts w:ascii="Arial" w:cs="Arial" w:eastAsia="Arial" w:hAnsi="Arial"/>
                <w:b/>
                <w:bCs/>
                <w:color w:val="FFFFFF"/>
                <w:sz w:val="22"/>
                <w:szCs w:val="22"/>
              </w:rPr>
              <w:t xml:space="preserve">📋 Cas de départ – À projeter ou à lire à voix haute</w:t>
            </w:r>
          </w:p>
        </w:tc>
      </w:tr>
      <w:tr>
        <w:tc>
          <w:tcPr>
            <w:tcBorders>
              <w:top w:val="none" w:color="FFFFFF" w:sz="0"/>
              <w:left w:val="single" w:color="455A64" w:sz="6" w:space="1"/>
              <w:bottom w:val="single" w:color="455A64" w:sz="6" w:space="1"/>
              <w:right w:val="single" w:color="455A64" w:sz="6" w:space="1"/>
            </w:tcBorders>
            <w:shd w:fill="ECEFF1"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SUPERMARKET a formé 8 équipes de travail (GAM) en 6 mois. Les équipes ont suivi la méthode. Elles ont produit des analyses, des Ishikawa, des Plans d'action.</w:t>
            </w:r>
          </w:p>
          <w:p>
            <w:pPr>
              <w:spacing w:after="30" w:before="30"/>
            </w:pPr>
            <w:r>
              <w:rPr>
                <w:rFonts w:ascii="Arial" w:cs="Arial" w:eastAsia="Arial" w:hAnsi="Arial"/>
                <w:color w:val="212121"/>
                <w:sz w:val="21"/>
                <w:szCs w:val="21"/>
              </w:rPr>
              <w:t xml:space="preserve"/>
            </w:r>
          </w:p>
          <w:p>
            <w:pPr>
              <w:spacing w:after="30" w:before="30"/>
            </w:pPr>
            <w:r>
              <w:rPr>
                <w:rFonts w:ascii="Arial" w:cs="Arial" w:eastAsia="Arial" w:hAnsi="Arial"/>
                <w:color w:val="212121"/>
                <w:sz w:val="21"/>
                <w:szCs w:val="21"/>
              </w:rPr>
              <w:t xml:space="preserve">Résultat 1 an plus tard :</w:t>
            </w:r>
          </w:p>
          <w:p>
            <w:pPr>
              <w:spacing w:after="30" w:before="30"/>
            </w:pPr>
            <w:r>
              <w:rPr>
                <w:rFonts w:ascii="Arial" w:cs="Arial" w:eastAsia="Arial" w:hAnsi="Arial"/>
                <w:color w:val="212121"/>
                <w:sz w:val="21"/>
                <w:szCs w:val="21"/>
              </w:rPr>
              <w:t xml:space="preserve">  → 2 équipes sur 8 sont encore actives.</w:t>
            </w:r>
          </w:p>
          <w:p>
            <w:pPr>
              <w:spacing w:after="30" w:before="30"/>
            </w:pPr>
            <w:r>
              <w:rPr>
                <w:rFonts w:ascii="Arial" w:cs="Arial" w:eastAsia="Arial" w:hAnsi="Arial"/>
                <w:color w:val="212121"/>
                <w:sz w:val="21"/>
                <w:szCs w:val="21"/>
              </w:rPr>
              <w:t xml:space="preserve">  → Les 6 autres ont cessé de se réunir.</w:t>
            </w:r>
          </w:p>
          <w:p>
            <w:pPr>
              <w:spacing w:after="30" w:before="30"/>
            </w:pPr>
            <w:r>
              <w:rPr>
                <w:rFonts w:ascii="Arial" w:cs="Arial" w:eastAsia="Arial" w:hAnsi="Arial"/>
                <w:color w:val="212121"/>
                <w:sz w:val="21"/>
                <w:szCs w:val="21"/>
              </w:rPr>
              <w:t xml:space="preserve">  → Aucune des actions décidées n'a été mise en œuvre dans 4 équipes.</w:t>
            </w:r>
          </w:p>
          <w:p>
            <w:pPr>
              <w:spacing w:after="30" w:before="30"/>
            </w:pPr>
            <w:r>
              <w:rPr>
                <w:rFonts w:ascii="Arial" w:cs="Arial" w:eastAsia="Arial" w:hAnsi="Arial"/>
                <w:color w:val="212121"/>
                <w:sz w:val="21"/>
                <w:szCs w:val="21"/>
              </w:rPr>
              <w:t xml:space="preserve">  → Plusieurs membres ont déclaré : « On nous a demandé de participer, mais on n'a jamais vu de résultats. »</w:t>
            </w:r>
          </w:p>
          <w:p>
            <w:pPr>
              <w:spacing w:after="30" w:before="30"/>
            </w:pPr>
            <w:r>
              <w:rPr>
                <w:rFonts w:ascii="Arial" w:cs="Arial" w:eastAsia="Arial" w:hAnsi="Arial"/>
                <w:color w:val="212121"/>
                <w:sz w:val="21"/>
                <w:szCs w:val="21"/>
              </w:rPr>
              <w:t xml:space="preserve"/>
            </w:r>
          </w:p>
          <w:p>
            <w:pPr>
              <w:spacing w:after="30" w:before="30"/>
            </w:pPr>
            <w:r>
              <w:rPr>
                <w:rFonts w:ascii="Arial" w:cs="Arial" w:eastAsia="Arial" w:hAnsi="Arial"/>
                <w:color w:val="212121"/>
                <w:sz w:val="21"/>
                <w:szCs w:val="21"/>
              </w:rPr>
              <w:t xml:space="preserve">Question posée aux groupes : Selon vous, pourquoi est-ce que ça n'a pas fonctionné ?</w:t>
            </w:r>
          </w:p>
        </w:tc>
      </w:tr>
    </w:tbl>
    <w:p>
      <w:pPr>
        <w:spacing w:after="0" w:before="120"/>
      </w:pPr>
      <w:r>
        <w:t xml:space="preserve"/>
      </w:r>
    </w:p>
    <w:p>
      <w:pPr>
        <w:spacing w:after="80" w:before="80"/>
      </w:pPr>
      <w:r>
        <w:rPr>
          <w:rFonts w:ascii="Arial" w:cs="Arial" w:eastAsia="Arial" w:hAnsi="Arial"/>
          <w:color w:val="212121"/>
          <w:sz w:val="22"/>
          <w:szCs w:val="22"/>
        </w:rPr>
        <w:t xml:space="preserve">Laissez 5 minutes de réflexion puis recueillez les réponses SANS les corriger. Notez-les au tableau. Ces hypothèses serviront de fil rouge : vous y reviendrez à chaque thème du module.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single" w:color="E65100" w:sz="6" w:space="1"/>
              <w:left w:val="single" w:color="E65100" w:sz="6" w:space="1"/>
              <w:bottom w:val="single" w:color="E65100" w:sz="6" w:space="1"/>
              <w:right w:val="single" w:color="E65100" w:sz="6" w:space="1"/>
            </w:tcBorders>
            <w:shd w:fill="E65100" w:val="clear"/>
            <w:tcMar>
              <w:top w:type="dxa" w:w="0"/>
              <w:left w:type="dxa" w:w="0"/>
              <w:bottom w:type="dxa" w:w="0"/>
              <w:right w:type="dxa" w:w="0"/>
            </w:tcMar>
          </w:tcPr>
          <w:p>
            <w:r>
              <w:t xml:space="preserve"/>
            </w:r>
          </w:p>
        </w:tc>
        <w:tc>
          <w:tcPr>
            <w:tcW w:type="dxa" w:w="8866"/>
            <w:tcBorders>
              <w:top w:val="single" w:color="E65100" w:sz="2"/>
              <w:left w:val="none" w:color="FFFFFF" w:sz="0"/>
              <w:bottom w:val="single" w:color="E65100" w:sz="2"/>
              <w:right w:val="single" w:color="E65100" w:sz="2"/>
            </w:tcBorders>
            <w:shd w:fill="FFF3E0" w:val="clear"/>
            <w:tcMar>
              <w:top w:type="dxa" w:w="100"/>
              <w:left w:type="dxa" w:w="200"/>
              <w:bottom w:type="dxa" w:w="100"/>
              <w:right w:type="dxa" w:w="160"/>
            </w:tcMar>
          </w:tcPr>
          <w:p>
            <w:pPr>
              <w:spacing w:after="60" w:before="0"/>
            </w:pPr>
            <w:r>
              <w:rPr>
                <w:rFonts w:ascii="Arial" w:cs="Arial" w:eastAsia="Arial" w:hAnsi="Arial"/>
                <w:b/>
                <w:bCs/>
                <w:color w:val="E65100"/>
                <w:sz w:val="21"/>
                <w:szCs w:val="21"/>
              </w:rPr>
              <w:t xml:space="preserve">Pourquoi commencer par un échec ?</w:t>
            </w:r>
          </w:p>
          <w:p>
            <w:pPr>
              <w:spacing w:after="20" w:before="20"/>
            </w:pPr>
            <w:r>
              <w:rPr>
                <w:rFonts w:ascii="Arial" w:cs="Arial" w:eastAsia="Arial" w:hAnsi="Arial"/>
                <w:color w:val="212121"/>
                <w:sz w:val="21"/>
                <w:szCs w:val="21"/>
              </w:rPr>
              <w:t xml:space="preserve">Les étudiants Bachelor ont tendance à croire que les méthodes bien appliquées suffisent.</w:t>
            </w:r>
          </w:p>
          <w:p>
            <w:pPr>
              <w:spacing w:after="20" w:before="20"/>
            </w:pPr>
            <w:r>
              <w:rPr>
                <w:rFonts w:ascii="Arial" w:cs="Arial" w:eastAsia="Arial" w:hAnsi="Arial"/>
                <w:color w:val="212121"/>
                <w:sz w:val="21"/>
                <w:szCs w:val="21"/>
              </w:rPr>
              <w:t xml:space="preserve">Cet échec démontre immédiatement que les outils ne sont pas le problème central.</w:t>
            </w:r>
          </w:p>
          <w:p>
            <w:pPr>
              <w:spacing w:after="20" w:before="20"/>
            </w:pPr>
            <w:r>
              <w:rPr>
                <w:rFonts w:ascii="Arial" w:cs="Arial" w:eastAsia="Arial" w:hAnsi="Arial"/>
                <w:color w:val="212121"/>
                <w:sz w:val="21"/>
                <w:szCs w:val="21"/>
              </w:rPr>
              <w:t xml:space="preserve">Cela crée un choc cognitif sain : ils vont chercher des réponses, pas simplement recevoir du contenu.</w:t>
            </w:r>
          </w:p>
        </w:tc>
      </w:tr>
    </w:tbl>
    <w:p>
      <w:pPr>
        <w:spacing w:after="0" w:before="120"/>
      </w:pPr>
      <w:r>
        <w:t xml:space="preserve"/>
      </w:r>
    </w:p>
    <w:p>
      <w:pPr>
        <w:pStyle w:val="Heading2"/>
        <w:spacing w:after="100" w:before="260"/>
      </w:pPr>
      <w:r>
        <w:rPr>
          <w:rFonts w:ascii="Arial" w:cs="Arial" w:eastAsia="Arial" w:hAnsi="Arial"/>
          <w:b/>
          <w:bCs/>
          <w:color w:val="E65100"/>
          <w:sz w:val="26"/>
          <w:szCs w:val="26"/>
        </w:rPr>
        <w:t xml:space="preserve">1.2 Définir les objectifs avec les étudiants (5 minutes)</w:t>
      </w:r>
    </w:p>
    <w:p>
      <w:pPr>
        <w:spacing w:after="80" w:before="80"/>
      </w:pPr>
      <w:r>
        <w:rPr>
          <w:rFonts w:ascii="Arial" w:cs="Arial" w:eastAsia="Arial" w:hAnsi="Arial"/>
          <w:color w:val="212121"/>
          <w:sz w:val="22"/>
          <w:szCs w:val="22"/>
        </w:rPr>
        <w:t xml:space="preserve">Après le cas, posez cette question ouverte :</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B66" w:sz="6" w:space="1"/>
              <w:left w:val="single" w:color="0D3B66" w:sz="6" w:space="1"/>
              <w:bottom w:val="none" w:color="FFFFFF" w:sz="0"/>
              <w:right w:val="single" w:color="0D3B66" w:sz="6" w:space="1"/>
            </w:tcBorders>
            <w:shd w:fill="0D3B66" w:val="clear"/>
            <w:tcMar>
              <w:top w:type="dxa" w:w="80"/>
              <w:left w:type="dxa" w:w="180"/>
              <w:bottom w:type="dxa" w:w="80"/>
              <w:right w:type="dxa" w:w="180"/>
            </w:tcMar>
          </w:tcPr>
          <w:p>
            <w:r>
              <w:rPr>
                <w:rFonts w:ascii="Arial" w:cs="Arial" w:eastAsia="Arial" w:hAnsi="Arial"/>
                <w:b/>
                <w:bCs/>
                <w:color w:val="FFFFFF"/>
                <w:sz w:val="22"/>
                <w:szCs w:val="22"/>
              </w:rPr>
              <w:t xml:space="preserve">💬 Question de cadrage collectif</w:t>
            </w:r>
          </w:p>
        </w:tc>
      </w:tr>
      <w:tr>
        <w:tc>
          <w:tcPr>
            <w:tcBorders>
              <w:top w:val="none" w:color="FFFFFF" w:sz="0"/>
              <w:left w:val="single" w:color="0D3B66" w:sz="6" w:space="1"/>
              <w:bottom w:val="single" w:color="0D3B66" w:sz="6" w:space="1"/>
              <w:right w:val="single" w:color="0D3B66" w:sz="6" w:space="1"/>
            </w:tcBorders>
            <w:shd w:fill="E8F1FB"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 À votre avis, qu'est-ce qu'un manager ou un chargé d'affaires doit absolument savoir faire</w:t>
            </w:r>
          </w:p>
          <w:p>
            <w:pPr>
              <w:spacing w:after="30" w:before="30"/>
            </w:pPr>
            <w:r>
              <w:rPr>
                <w:rFonts w:ascii="Arial" w:cs="Arial" w:eastAsia="Arial" w:hAnsi="Arial"/>
                <w:color w:val="212121"/>
                <w:sz w:val="21"/>
                <w:szCs w:val="21"/>
              </w:rPr>
              <w:t xml:space="preserve">pour que ses équipes s'améliorent vraiment – pas juste sur le papier ? »</w:t>
            </w:r>
          </w:p>
          <w:p>
            <w:pPr>
              <w:spacing w:after="30" w:before="30"/>
            </w:pPr>
            <w:r>
              <w:rPr>
                <w:rFonts w:ascii="Arial" w:cs="Arial" w:eastAsia="Arial" w:hAnsi="Arial"/>
                <w:color w:val="212121"/>
                <w:sz w:val="21"/>
                <w:szCs w:val="21"/>
              </w:rPr>
              <w:t xml:space="preserve"/>
            </w:r>
          </w:p>
          <w:p>
            <w:pPr>
              <w:spacing w:after="30" w:before="30"/>
            </w:pPr>
            <w:r>
              <w:rPr>
                <w:rFonts w:ascii="Arial" w:cs="Arial" w:eastAsia="Arial" w:hAnsi="Arial"/>
                <w:color w:val="212121"/>
                <w:sz w:val="21"/>
                <w:szCs w:val="21"/>
              </w:rPr>
              <w:t xml:space="preserve">Notez 3 à 5 réponses au tableau. Gardez-les visibles toute la session.</w:t>
            </w:r>
          </w:p>
          <w:p>
            <w:pPr>
              <w:spacing w:after="30" w:before="30"/>
            </w:pPr>
            <w:r>
              <w:rPr>
                <w:rFonts w:ascii="Arial" w:cs="Arial" w:eastAsia="Arial" w:hAnsi="Arial"/>
                <w:color w:val="212121"/>
                <w:sz w:val="21"/>
                <w:szCs w:val="21"/>
              </w:rPr>
              <w:t xml:space="preserve">À la fin du module, vous y reviendrez : certaines réponses auront changé.</w:t>
            </w:r>
          </w:p>
        </w:tc>
      </w:tr>
    </w:tbl>
    <w:p>
      <w:pPr>
        <w:spacing w:after="0" w:before="80"/>
      </w:pPr>
      <w:r>
        <w:t xml:space="preserve"/>
      </w:r>
    </w:p>
    <w:p>
      <w:pPr>
        <w:spacing w:after="80" w:before="80"/>
      </w:pPr>
      <w:r>
        <w:rPr>
          <w:rFonts w:ascii="Arial" w:cs="Arial" w:eastAsia="Arial" w:hAnsi="Arial"/>
          <w:color w:val="212121"/>
          <w:sz w:val="22"/>
          <w:szCs w:val="22"/>
        </w:rPr>
        <w:t xml:space="preserve">Cette technique d'objectivation partagée est puissante avec un public Bachelor : ils co-construisent les objectifs au lieu de les subir. Cela crée un engagement d'emblée.</w:t>
      </w:r>
    </w:p>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2. Objectifs pédagogiques – Le cadre clair</w:t>
      </w:r>
    </w:p>
    <w:p>
      <w:pPr>
        <w:spacing w:after="80" w:before="80"/>
      </w:pPr>
      <w:r>
        <w:rPr>
          <w:rFonts w:ascii="Arial" w:cs="Arial" w:eastAsia="Arial" w:hAnsi="Arial"/>
          <w:color w:val="212121"/>
          <w:sz w:val="22"/>
          <w:szCs w:val="22"/>
        </w:rPr>
        <w:t xml:space="preserve">Le Module 2 couvre 4 thèmes majeurs. Voici le cadre pédagogique complet que vous communiquez aux étudiants en début de session.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THÈME</w:t>
            </w:r>
          </w:p>
        </w:tc>
        <w:tc>
          <w:tcPr>
            <w:tcW w:type="dxa" w:w="4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CE QU'ILS APPRENDRONT</w:t>
            </w:r>
          </w:p>
        </w:tc>
        <w:tc>
          <w:tcPr>
            <w:tcW w:type="dxa" w:w="3026"/>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LIVRABLE ASSOCIÉ</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1. Les obstacles au Kaizen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Identifier les freins systémiques et humains au changement en organisation</w:t>
            </w:r>
          </w:p>
        </w:tc>
        <w:tc>
          <w:tcPr>
            <w:tcW w:type="dxa" w:w="30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Cartographie des obstacles pour le cas SUPERMARKET</w:t>
            </w:r>
          </w:p>
        </w:tc>
      </w:tr>
      <w:tr>
        <w:tc>
          <w:tcPr>
            <w:tcW w:type="dxa" w:w="20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2. Le soutien de la direction</w:t>
            </w:r>
          </w:p>
        </w:tc>
        <w:tc>
          <w:tcPr>
            <w:tcW w:type="dxa" w:w="40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Comprendre pourquoi sans engagement de la hiérarchie, rien ne tient – et comment l'obtenir</w:t>
            </w:r>
          </w:p>
        </w:tc>
        <w:tc>
          <w:tcPr>
            <w:tcW w:type="dxa" w:w="30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Argumentaire de conviction à destination d'un directeur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3. Motivation et reconnaissance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Distinguer motivation intrinsèque/extrinsèque et concevoir un système de reconnaissance adapté</w:t>
            </w:r>
          </w:p>
        </w:tc>
        <w:tc>
          <w:tcPr>
            <w:tcW w:type="dxa" w:w="30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Plan de reconnaissance pour une équipe GAM</w:t>
            </w:r>
          </w:p>
        </w:tc>
      </w:tr>
      <w:tr>
        <w:tc>
          <w:tcPr>
            <w:tcW w:type="dxa" w:w="20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4. Le rôle de l'animateur-diplomate</w:t>
            </w:r>
          </w:p>
        </w:tc>
        <w:tc>
          <w:tcPr>
            <w:tcW w:type="dxa" w:w="40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Maîtriser la posture de facilitateur, gérer les tensions, négocier avec les services supports</w:t>
            </w:r>
          </w:p>
        </w:tc>
        <w:tc>
          <w:tcPr>
            <w:tcW w:type="dxa" w:w="30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Grille de compétences de l'animateur idéal</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B66" w:sz="6" w:space="1"/>
              <w:left w:val="single" w:color="0D3B66" w:sz="6" w:space="1"/>
              <w:bottom w:val="none" w:color="FFFFFF" w:sz="0"/>
              <w:right w:val="single" w:color="0D3B66" w:sz="6" w:space="1"/>
            </w:tcBorders>
            <w:shd w:fill="0D3B66" w:val="clear"/>
            <w:tcMar>
              <w:top w:type="dxa" w:w="80"/>
              <w:left w:type="dxa" w:w="180"/>
              <w:bottom w:type="dxa" w:w="80"/>
              <w:right w:type="dxa" w:w="180"/>
            </w:tcMar>
          </w:tcPr>
          <w:p>
            <w:r>
              <w:rPr>
                <w:rFonts w:ascii="Arial" w:cs="Arial" w:eastAsia="Arial" w:hAnsi="Arial"/>
                <w:b/>
                <w:bCs/>
                <w:color w:val="FFFFFF"/>
                <w:sz w:val="22"/>
                <w:szCs w:val="22"/>
              </w:rPr>
              <w:t xml:space="preserve">🎓 Ce que les étudiants DOIVENT retenir (non négociable)</w:t>
            </w:r>
          </w:p>
        </w:tc>
      </w:tr>
      <w:tr>
        <w:tc>
          <w:tcPr>
            <w:tcBorders>
              <w:top w:val="none" w:color="FFFFFF" w:sz="0"/>
              <w:left w:val="single" w:color="0D3B66" w:sz="6" w:space="1"/>
              <w:bottom w:val="single" w:color="0D3B66" w:sz="6" w:space="1"/>
              <w:right w:val="single" w:color="0D3B66" w:sz="6" w:space="1"/>
            </w:tcBorders>
            <w:shd w:fill="E8F1FB"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1. Le Kaizen ne tient pas sans soutien explicite de la direction – ce n'est pas une opinion, c'est une donnée.</w:t>
            </w:r>
          </w:p>
          <w:p>
            <w:pPr>
              <w:spacing w:after="30" w:before="30"/>
            </w:pPr>
            <w:r>
              <w:rPr>
                <w:rFonts w:ascii="Arial" w:cs="Arial" w:eastAsia="Arial" w:hAnsi="Arial"/>
                <w:color w:val="212121"/>
                <w:sz w:val="21"/>
                <w:szCs w:val="21"/>
              </w:rPr>
              <w:t xml:space="preserve">2. La motivation ne s'achète pas. Elle se construit par la reconnaissance sincère, la progression visible et la contribution réelle.</w:t>
            </w:r>
          </w:p>
          <w:p>
            <w:pPr>
              <w:spacing w:after="30" w:before="30"/>
            </w:pPr>
            <w:r>
              <w:rPr>
                <w:rFonts w:ascii="Arial" w:cs="Arial" w:eastAsia="Arial" w:hAnsi="Arial"/>
                <w:color w:val="212121"/>
                <w:sz w:val="21"/>
                <w:szCs w:val="21"/>
              </w:rPr>
              <w:t xml:space="preserve">3. L'animateur n'est pas un chef. Il est un facilitateur ET un diplomate – deux postures très différentes.</w:t>
            </w:r>
          </w:p>
          <w:p>
            <w:pPr>
              <w:spacing w:after="30" w:before="30"/>
            </w:pPr>
            <w:r>
              <w:rPr>
                <w:rFonts w:ascii="Arial" w:cs="Arial" w:eastAsia="Arial" w:hAnsi="Arial"/>
                <w:color w:val="212121"/>
                <w:sz w:val="21"/>
                <w:szCs w:val="21"/>
              </w:rPr>
              <w:t xml:space="preserve">4. Les obstacles au Kaizen sont prévisibles et donc gérables – à condition de les avoir anticipés.</w:t>
            </w:r>
          </w:p>
        </w:tc>
      </w:tr>
    </w:tbl>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3. Les 4 thèmes du Module 2 – Fiches animateur</w:t>
      </w:r>
    </w:p>
    <w:p>
      <w:pPr>
        <w:spacing w:after="80" w:before="80"/>
      </w:pPr>
      <w:r>
        <w:rPr>
          <w:rFonts w:ascii="Arial" w:cs="Arial" w:eastAsia="Arial" w:hAnsi="Arial"/>
          <w:color w:val="212121"/>
          <w:sz w:val="22"/>
          <w:szCs w:val="22"/>
        </w:rPr>
        <w:t xml:space="preserve">Pour chaque thème : concept, ancrage Bachelor, questions de lancement du travail en groupe, et points de vigilance.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0D3B66" w:sz="6" w:space="1"/>
              <w:left w:val="single" w:color="0D3B66" w:sz="6" w:space="1"/>
              <w:bottom w:val="single" w:color="0D3B66" w:sz="6" w:space="1"/>
              <w:right w:val="single" w:color="0D3B66" w:sz="6" w:space="1"/>
            </w:tcBorders>
            <w:shd w:fill="0D3B66" w:val="clear"/>
            <w:tcMar>
              <w:top w:type="dxa" w:w="80"/>
              <w:left w:type="dxa" w:w="160"/>
              <w:bottom w:type="dxa" w:w="80"/>
              <w:right w:type="dxa" w:w="160"/>
            </w:tcMar>
          </w:tcPr>
          <w:p>
            <w:r>
              <w:rPr>
                <w:rFonts w:ascii="Arial" w:cs="Arial" w:eastAsia="Arial" w:hAnsi="Arial"/>
                <w:b/>
                <w:bCs/>
                <w:color w:val="FFFFFF"/>
                <w:sz w:val="24"/>
                <w:szCs w:val="24"/>
              </w:rPr>
              <w:t xml:space="preserve">🚧  THÈME 1 – Les obstacles au déploiement du Kaizen</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CONCEPT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Le déploiement du Kaizen se heurte à des obstacles récurrents : le GAM est perçu comme lent et coûteux, les animateurs manquent de formation, les chefs ne soutiennent pas, les participants ne voient pas les résultats, les services supports bloquent les propositions.</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ENJEU BACHELOR</w:t>
            </w:r>
          </w:p>
        </w:tc>
        <w:tc>
          <w:tcPr>
            <w:tcW w:type="dxa" w:w="8326"/>
            <w:tcBorders>
              <w:top w:val="single" w:color="1565C0" w:sz="2"/>
              <w:left w:val="single" w:color="1565C0" w:sz="2"/>
              <w:bottom w:val="single" w:color="1565C0" w:sz="2"/>
              <w:right w:val="single" w:color="1565C0" w:sz="2"/>
            </w:tcBorders>
            <w:shd w:fill="E8F1FB" w:val="clear"/>
            <w:tcMar>
              <w:top w:type="dxa" w:w="60"/>
              <w:left w:type="dxa" w:w="140"/>
              <w:bottom w:type="dxa" w:w="60"/>
              <w:right w:type="dxa" w:w="120"/>
            </w:tcMar>
          </w:tcPr>
          <w:p>
            <w:r>
              <w:rPr>
                <w:rFonts w:ascii="Arial" w:cs="Arial" w:eastAsia="Arial" w:hAnsi="Arial"/>
                <w:color w:val="212121"/>
                <w:sz w:val="21"/>
                <w:szCs w:val="21"/>
              </w:rPr>
              <w:t xml:space="preserve">En commerce et chargé d'affaires, vous serez amenés à conduire des projets de changement. Savoir anticiper et nommer les résistances est une compétence managériale de premier plan. Ce n'est pas de la mauvaise volonté : c'est de la prévisibilité.</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QUESTIONS DE LANCEMENT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 Parmi les obstacles listés au tableau, lesquels avez-vous déjà observés – dans un job étudiant, un stage, un projet de groupe ? » → Puis : « Classez-les : lequel vous semble le plus difficile à surmonter en tant que futur manager ? »</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E65100"/>
                <w:sz w:val="17"/>
                <w:szCs w:val="17"/>
              </w:rPr>
              <w:t xml:space="preserve">⚠ VIGILANCE</w:t>
            </w:r>
          </w:p>
        </w:tc>
        <w:tc>
          <w:tcPr>
            <w:tcW w:type="dxa" w:w="8326"/>
            <w:tcBorders>
              <w:top w:val="single" w:color="1565C0" w:sz="2"/>
              <w:left w:val="single" w:color="1565C0" w:sz="2"/>
              <w:bottom w:val="single" w:color="1565C0" w:sz="2"/>
              <w:right w:val="single" w:color="1565C0" w:sz="2"/>
            </w:tcBorders>
            <w:shd w:fill="FFF3E0" w:val="clear"/>
            <w:tcMar>
              <w:top w:type="dxa" w:w="60"/>
              <w:left w:type="dxa" w:w="140"/>
              <w:bottom w:type="dxa" w:w="60"/>
              <w:right w:type="dxa" w:w="120"/>
            </w:tcMar>
          </w:tcPr>
          <w:p>
            <w:r>
              <w:rPr>
                <w:rFonts w:ascii="Arial" w:cs="Arial" w:eastAsia="Arial" w:hAnsi="Arial"/>
                <w:color w:val="212121"/>
                <w:sz w:val="21"/>
                <w:szCs w:val="21"/>
              </w:rPr>
              <w:t xml:space="preserve">Les étudiants ont tendance à pointer les « mauvais chefs » comme seule explication. Nuancez : les chefs résistants ont souvent des raisons légitimes (pression de résultats, manque de temps, expériences passées négatives). La question est : comment les convaincre ?</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0D3B66" w:sz="6" w:space="1"/>
              <w:left w:val="single" w:color="0D3B66" w:sz="6" w:space="1"/>
              <w:bottom w:val="single" w:color="0D3B66" w:sz="6" w:space="1"/>
              <w:right w:val="single" w:color="0D3B66" w:sz="6" w:space="1"/>
            </w:tcBorders>
            <w:shd w:fill="0D3B66" w:val="clear"/>
            <w:tcMar>
              <w:top w:type="dxa" w:w="80"/>
              <w:left w:type="dxa" w:w="160"/>
              <w:bottom w:type="dxa" w:w="80"/>
              <w:right w:type="dxa" w:w="160"/>
            </w:tcMar>
          </w:tcPr>
          <w:p>
            <w:r>
              <w:rPr>
                <w:rFonts w:ascii="Arial" w:cs="Arial" w:eastAsia="Arial" w:hAnsi="Arial"/>
                <w:b/>
                <w:bCs/>
                <w:color w:val="FFFFFF"/>
                <w:sz w:val="24"/>
                <w:szCs w:val="24"/>
              </w:rPr>
              <w:t xml:space="preserve">🏛  THÈME 2 – Le soutien de la direction et de l'encadrement</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CONCEPT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Le progrès permanent doit être inscrit dans un Plan de progrès stratégique. La direction doit s'engager concrètement : visites terrain régulières, participation aux GAM, expression publique de soutien. L'encadrement intermédiaire doit être convaincu avant les équipes.</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ENJEU BACHELOR</w:t>
            </w:r>
          </w:p>
        </w:tc>
        <w:tc>
          <w:tcPr>
            <w:tcW w:type="dxa" w:w="8326"/>
            <w:tcBorders>
              <w:top w:val="single" w:color="1565C0" w:sz="2"/>
              <w:left w:val="single" w:color="1565C0" w:sz="2"/>
              <w:bottom w:val="single" w:color="1565C0" w:sz="2"/>
              <w:right w:val="single" w:color="1565C0" w:sz="2"/>
            </w:tcBorders>
            <w:shd w:fill="E8F1FB" w:val="clear"/>
            <w:tcMar>
              <w:top w:type="dxa" w:w="60"/>
              <w:left w:type="dxa" w:w="140"/>
              <w:bottom w:type="dxa" w:w="60"/>
              <w:right w:type="dxa" w:w="120"/>
            </w:tcMar>
          </w:tcPr>
          <w:p>
            <w:r>
              <w:rPr>
                <w:rFonts w:ascii="Arial" w:cs="Arial" w:eastAsia="Arial" w:hAnsi="Arial"/>
                <w:color w:val="212121"/>
                <w:sz w:val="21"/>
                <w:szCs w:val="21"/>
              </w:rPr>
              <w:t xml:space="preserve">En filière commerciale et chargé d'affaires, convaincre une direction est une compétence centrale. Savoir construire un argumentaire qui parle le langage du directeur (ROI, risques, différenciation) plutôt que le langage de l'opérateur est un atout stratégique.</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QUESTIONS DE LANCEMENT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 Mettez-vous à la place du Directeur de SUPERMARKET. Il vient d'apprendre que 6 équipes sur 8 ont abandonné. Quels arguments l'animateur doit-il avancer pour lui demander de continuer à soutenir la démarche ? » → Travail en groupe : chaque équipe rédige 3 arguments. Mise en commun et débat.</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E65100"/>
                <w:sz w:val="17"/>
                <w:szCs w:val="17"/>
              </w:rPr>
              <w:t xml:space="preserve">⚠ VIGILANCE</w:t>
            </w:r>
          </w:p>
        </w:tc>
        <w:tc>
          <w:tcPr>
            <w:tcW w:type="dxa" w:w="8326"/>
            <w:tcBorders>
              <w:top w:val="single" w:color="1565C0" w:sz="2"/>
              <w:left w:val="single" w:color="1565C0" w:sz="2"/>
              <w:bottom w:val="single" w:color="1565C0" w:sz="2"/>
              <w:right w:val="single" w:color="1565C0" w:sz="2"/>
            </w:tcBorders>
            <w:shd w:fill="FFF3E0" w:val="clear"/>
            <w:tcMar>
              <w:top w:type="dxa" w:w="60"/>
              <w:left w:type="dxa" w:w="140"/>
              <w:bottom w:type="dxa" w:w="60"/>
              <w:right w:type="dxa" w:w="120"/>
            </w:tcMar>
          </w:tcPr>
          <w:p>
            <w:r>
              <w:rPr>
                <w:rFonts w:ascii="Arial" w:cs="Arial" w:eastAsia="Arial" w:hAnsi="Arial"/>
                <w:color w:val="212121"/>
                <w:sz w:val="21"/>
                <w:szCs w:val="21"/>
              </w:rPr>
              <w:t xml:space="preserve">Attention : évitez que les équipes ne produisent des arguments 'idéaux' déconnectés de la réalité économique. Challengez-les avec des contre-arguments du directeur : « Ça prend du temps pour quel résultat mesurable ? Qui remplace les gens en réunion ? »</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0D3B66" w:sz="6" w:space="1"/>
              <w:left w:val="single" w:color="0D3B66" w:sz="6" w:space="1"/>
              <w:bottom w:val="single" w:color="0D3B66" w:sz="6" w:space="1"/>
              <w:right w:val="single" w:color="0D3B66" w:sz="6" w:space="1"/>
            </w:tcBorders>
            <w:shd w:fill="0D3B66" w:val="clear"/>
            <w:tcMar>
              <w:top w:type="dxa" w:w="80"/>
              <w:left w:type="dxa" w:w="160"/>
              <w:bottom w:type="dxa" w:w="80"/>
              <w:right w:type="dxa" w:w="160"/>
            </w:tcMar>
          </w:tcPr>
          <w:p>
            <w:r>
              <w:rPr>
                <w:rFonts w:ascii="Arial" w:cs="Arial" w:eastAsia="Arial" w:hAnsi="Arial"/>
                <w:b/>
                <w:bCs/>
                <w:color w:val="FFFFFF"/>
                <w:sz w:val="24"/>
                <w:szCs w:val="24"/>
              </w:rPr>
              <w:t xml:space="preserve">⭐  THÈME 3 – Motivation et reconnaissance</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CONCEPT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La question fondamentale des participants est : « Qu'est-ce que ça me rapporte ? ». L'argent ne suffit pas et peut même être contre-productif (primes individuelles qui brisent la coopération). Les leviers efficaces : objectif qui intéresse personnellement, réunion agréable, projet visible qui avance, contribution réelle, reconnaissance sincère. Les actions sont décomposées en petites étapes pour accumuler les victoires.</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ENJEU BACHELOR</w:t>
            </w:r>
          </w:p>
        </w:tc>
        <w:tc>
          <w:tcPr>
            <w:tcW w:type="dxa" w:w="8326"/>
            <w:tcBorders>
              <w:top w:val="single" w:color="1565C0" w:sz="2"/>
              <w:left w:val="single" w:color="1565C0" w:sz="2"/>
              <w:bottom w:val="single" w:color="1565C0" w:sz="2"/>
              <w:right w:val="single" w:color="1565C0" w:sz="2"/>
            </w:tcBorders>
            <w:shd w:fill="E8F1FB" w:val="clear"/>
            <w:tcMar>
              <w:top w:type="dxa" w:w="60"/>
              <w:left w:type="dxa" w:w="140"/>
              <w:bottom w:type="dxa" w:w="60"/>
              <w:right w:type="dxa" w:w="120"/>
            </w:tcMar>
          </w:tcPr>
          <w:p>
            <w:r>
              <w:rPr>
                <w:rFonts w:ascii="Arial" w:cs="Arial" w:eastAsia="Arial" w:hAnsi="Arial"/>
                <w:color w:val="212121"/>
                <w:sz w:val="21"/>
                <w:szCs w:val="21"/>
              </w:rPr>
              <w:t xml:space="preserve">En management commercial, motiver des équipes sans pouvoir hiérarchique direct est une réalité quotidienne. Le chargé d'affaires motive ses clients, ses partenaires, ses équipes projet. Comprendre les mécanismes de la reconnaissance non financière, c'est acquérir un avantage décisif.</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QUESTIONS DE LANCEMENT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 Imaginez que vous êtes membre d'une équipe GAM. Vous vous réunissez depuis 3 mois. Pas de nouvelle de la direction. Vos actions sont bloquées par le service RH. Votre chef n'est jamais là. Comment vous sentez-vous ? Qu'est-ce qui vous ferait rester ? » → Puis : « En tant que futur manager, que pourriez-vous faire concrètement pour chaque facteur cité ? »</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E65100"/>
                <w:sz w:val="17"/>
                <w:szCs w:val="17"/>
              </w:rPr>
              <w:t xml:space="preserve">⚠ VIGILANCE</w:t>
            </w:r>
          </w:p>
        </w:tc>
        <w:tc>
          <w:tcPr>
            <w:tcW w:type="dxa" w:w="8326"/>
            <w:tcBorders>
              <w:top w:val="single" w:color="1565C0" w:sz="2"/>
              <w:left w:val="single" w:color="1565C0" w:sz="2"/>
              <w:bottom w:val="single" w:color="1565C0" w:sz="2"/>
              <w:right w:val="single" w:color="1565C0" w:sz="2"/>
            </w:tcBorders>
            <w:shd w:fill="FFF3E0" w:val="clear"/>
            <w:tcMar>
              <w:top w:type="dxa" w:w="60"/>
              <w:left w:type="dxa" w:w="140"/>
              <w:bottom w:type="dxa" w:w="60"/>
              <w:right w:type="dxa" w:w="120"/>
            </w:tcMar>
          </w:tcPr>
          <w:p>
            <w:r>
              <w:rPr>
                <w:rFonts w:ascii="Arial" w:cs="Arial" w:eastAsia="Arial" w:hAnsi="Arial"/>
                <w:color w:val="212121"/>
                <w:sz w:val="21"/>
                <w:szCs w:val="21"/>
              </w:rPr>
              <w:t xml:space="preserve">Risque : les étudiants proposent systématiquement des primes financières. Challengez-les : « Et si le budget est zéro ? Qu'est-ce que vous faites ? » Puis : « Quand VOUS avez été vraiment motivé dans un projet, est-ce que c'était l'argent ? » Ils se répondent à eux-mêmes.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0D3B66" w:sz="6" w:space="1"/>
              <w:left w:val="single" w:color="0D3B66" w:sz="6" w:space="1"/>
              <w:bottom w:val="single" w:color="0D3B66" w:sz="6" w:space="1"/>
              <w:right w:val="single" w:color="0D3B66" w:sz="6" w:space="1"/>
            </w:tcBorders>
            <w:shd w:fill="0D3B66" w:val="clear"/>
            <w:tcMar>
              <w:top w:type="dxa" w:w="80"/>
              <w:left w:type="dxa" w:w="160"/>
              <w:bottom w:type="dxa" w:w="80"/>
              <w:right w:type="dxa" w:w="160"/>
            </w:tcMar>
          </w:tcPr>
          <w:p>
            <w:r>
              <w:rPr>
                <w:rFonts w:ascii="Arial" w:cs="Arial" w:eastAsia="Arial" w:hAnsi="Arial"/>
                <w:b/>
                <w:bCs/>
                <w:color w:val="FFFFFF"/>
                <w:sz w:val="24"/>
                <w:szCs w:val="24"/>
              </w:rPr>
              <w:t xml:space="preserve">🎭  THÈME 4 – Le rôle de l'animateur-diplomate</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CONCEPT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L'animateur n'est pas un chef. Il est 'dans le groupe' et non 'face au groupe'. Son rôle : aider le groupe à être efficace, ne pas prendre les responsabilités à la place des participants, gérer les relations avec les services supports (rôle de diplomate), faire avancer sans imposer. Des fiches mémo et supports pré-formatés sont ses outils de base.</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ENJEU BACHELOR</w:t>
            </w:r>
          </w:p>
        </w:tc>
        <w:tc>
          <w:tcPr>
            <w:tcW w:type="dxa" w:w="8326"/>
            <w:tcBorders>
              <w:top w:val="single" w:color="1565C0" w:sz="2"/>
              <w:left w:val="single" w:color="1565C0" w:sz="2"/>
              <w:bottom w:val="single" w:color="1565C0" w:sz="2"/>
              <w:right w:val="single" w:color="1565C0" w:sz="2"/>
            </w:tcBorders>
            <w:shd w:fill="E8F1FB" w:val="clear"/>
            <w:tcMar>
              <w:top w:type="dxa" w:w="60"/>
              <w:left w:type="dxa" w:w="140"/>
              <w:bottom w:type="dxa" w:w="60"/>
              <w:right w:type="dxa" w:w="120"/>
            </w:tcMar>
          </w:tcPr>
          <w:p>
            <w:r>
              <w:rPr>
                <w:rFonts w:ascii="Arial" w:cs="Arial" w:eastAsia="Arial" w:hAnsi="Arial"/>
                <w:color w:val="212121"/>
                <w:sz w:val="21"/>
                <w:szCs w:val="21"/>
              </w:rPr>
              <w:t xml:space="preserve">Le chargé d'affaires exerce exactement cette posture : il coordonne sans autorité formelle, négocie en interne, facilite la décision sans la prendre. Le rôle de l'animateur GAM est un excellent laboratoire pour tester cette posture en situation simulée.</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0D3B66"/>
                <w:sz w:val="17"/>
                <w:szCs w:val="17"/>
              </w:rPr>
              <w:t xml:space="preserve">QUESTIONS DE LANCEMENT</w:t>
            </w:r>
          </w:p>
        </w:tc>
        <w:tc>
          <w:tcPr>
            <w:tcW w:type="dxa" w:w="8326"/>
            <w:tcBorders>
              <w:top w:val="single" w:color="1565C0" w:sz="2"/>
              <w:left w:val="single" w:color="1565C0" w:sz="2"/>
              <w:bottom w:val="single" w:color="1565C0" w:sz="2"/>
              <w:right w:val="single" w:color="1565C0" w:sz="2"/>
            </w:tcBorders>
            <w:shd w:fill="FFFFFF" w:val="clear"/>
            <w:tcMar>
              <w:top w:type="dxa" w:w="60"/>
              <w:left w:type="dxa" w:w="140"/>
              <w:bottom w:type="dxa" w:w="60"/>
              <w:right w:type="dxa" w:w="120"/>
            </w:tcMar>
          </w:tcPr>
          <w:p>
            <w:r>
              <w:rPr>
                <w:rFonts w:ascii="Arial" w:cs="Arial" w:eastAsia="Arial" w:hAnsi="Arial"/>
                <w:color w:val="212121"/>
                <w:sz w:val="21"/>
                <w:szCs w:val="21"/>
              </w:rPr>
              <w:t xml:space="preserve">Jeu de rôle en binômes (10 min) : un étudiant joue un participant GAM qui s'agite et monopolise la parole, l'autre joue l'animateur et doit gérer la situation sans le couper brutalement. Débriefez en groupe : qu'est-ce qui a fonctionné ? Qu'est-ce qui a échoué ? Quelles formules ont été utilisées ?</w:t>
            </w:r>
          </w:p>
        </w:tc>
      </w:tr>
      <w:tr>
        <w:tc>
          <w:tcPr>
            <w:tcW w:type="dxa" w:w="700"/>
            <w:tcBorders>
              <w:top w:val="single" w:color="1565C0" w:sz="2"/>
              <w:left w:val="single" w:color="1565C0" w:sz="2"/>
              <w:bottom w:val="single" w:color="1565C0" w:sz="2"/>
              <w:right w:val="single" w:color="1565C0" w:sz="2"/>
            </w:tcBorders>
            <w:shd w:fill="E8F1FB" w:val="clear"/>
            <w:tcMar>
              <w:top w:type="dxa" w:w="60"/>
              <w:left w:type="dxa" w:w="60"/>
              <w:bottom w:type="dxa" w:w="60"/>
              <w:right w:type="dxa" w:w="60"/>
            </w:tcMar>
            <w:vAlign w:val="center"/>
          </w:tcPr>
          <w:p>
            <w:pPr>
              <w:jc w:val="center"/>
            </w:pPr>
            <w:r>
              <w:rPr>
                <w:rFonts w:ascii="Arial" w:cs="Arial" w:eastAsia="Arial" w:hAnsi="Arial"/>
                <w:b/>
                <w:bCs/>
                <w:color w:val="E65100"/>
                <w:sz w:val="17"/>
                <w:szCs w:val="17"/>
              </w:rPr>
              <w:t xml:space="preserve">⚠ VIGILANCE</w:t>
            </w:r>
          </w:p>
        </w:tc>
        <w:tc>
          <w:tcPr>
            <w:tcW w:type="dxa" w:w="8326"/>
            <w:tcBorders>
              <w:top w:val="single" w:color="1565C0" w:sz="2"/>
              <w:left w:val="single" w:color="1565C0" w:sz="2"/>
              <w:bottom w:val="single" w:color="1565C0" w:sz="2"/>
              <w:right w:val="single" w:color="1565C0" w:sz="2"/>
            </w:tcBorders>
            <w:shd w:fill="FFF3E0" w:val="clear"/>
            <w:tcMar>
              <w:top w:type="dxa" w:w="60"/>
              <w:left w:type="dxa" w:w="140"/>
              <w:bottom w:type="dxa" w:w="60"/>
              <w:right w:type="dxa" w:w="120"/>
            </w:tcMar>
          </w:tcPr>
          <w:p>
            <w:r>
              <w:rPr>
                <w:rFonts w:ascii="Arial" w:cs="Arial" w:eastAsia="Arial" w:hAnsi="Arial"/>
                <w:color w:val="212121"/>
                <w:sz w:val="21"/>
                <w:szCs w:val="21"/>
              </w:rPr>
              <w:t xml:space="preserve">Ce thème est le plus abstrait pour des étudiants sans expérience managériale. Le jeu de rôle est INDISPENSABLE – sans mise en pratique, le concept reste théorique. Prévoyez 15 min minimum pour ce jeu de rôle.</w:t>
            </w:r>
          </w:p>
        </w:tc>
      </w:tr>
    </w:tbl>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4. Faut-il fournir une maquette du rendu attendu ?</w:t>
      </w:r>
    </w:p>
    <w:p>
      <w:pPr>
        <w:spacing w:after="80" w:before="80"/>
      </w:pPr>
      <w:r>
        <w:rPr>
          <w:rFonts w:ascii="Arial" w:cs="Arial" w:eastAsia="Arial" w:hAnsi="Arial"/>
          <w:color w:val="212121"/>
          <w:sz w:val="22"/>
          <w:szCs w:val="22"/>
        </w:rPr>
        <w:t xml:space="preserve">C'est une question pédagogique centrale. La réponse est nuancée : ni tout, ni rien.</w:t>
      </w:r>
    </w:p>
    <w:p>
      <w:pPr>
        <w:spacing w:after="0" w:before="80"/>
      </w:pPr>
      <w:r>
        <w:t xml:space="preserve"/>
      </w:r>
    </w:p>
    <w:p>
      <w:pPr>
        <w:pStyle w:val="Heading2"/>
        <w:spacing w:after="100" w:before="260"/>
      </w:pPr>
      <w:r>
        <w:rPr>
          <w:rFonts w:ascii="Arial" w:cs="Arial" w:eastAsia="Arial" w:hAnsi="Arial"/>
          <w:b/>
          <w:bCs/>
          <w:color w:val="E65100"/>
          <w:sz w:val="26"/>
          <w:szCs w:val="26"/>
        </w:rPr>
        <w:t xml:space="preserve">4.1 Le débat pédagogique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3513"/>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3513"/>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RISQUES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Maquette complète fournie</w:t>
            </w:r>
          </w:p>
        </w:tc>
        <w:tc>
          <w:tcPr>
            <w:tcW w:type="dxa" w:w="3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Sécurise les étudiants. Gain de temps. Livrable uniforme facile à comparer.</w:t>
            </w:r>
          </w:p>
        </w:tc>
        <w:tc>
          <w:tcPr>
            <w:tcW w:type="dxa" w:w="3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Bride la créativité. Favorise le 'remplissage'. Les étudiants ne réfléchissent plus au QUOI mais au COMMENT remplir.</w:t>
            </w:r>
          </w:p>
        </w:tc>
      </w:tr>
      <w:tr>
        <w:tc>
          <w:tcPr>
            <w:tcW w:type="dxa" w:w="20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Liberté totale</w:t>
            </w:r>
          </w:p>
        </w:tc>
        <w:tc>
          <w:tcPr>
            <w:tcW w:type="dxa" w:w="35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Stimule la créativité. Révèle les véritables représentations. Produit des livrables diversifiés et révélateurs.</w:t>
            </w:r>
          </w:p>
        </w:tc>
        <w:tc>
          <w:tcPr>
            <w:tcW w:type="dxa" w:w="35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Génère de l'anxiété. Crée des inégalités fortes entre groupes. Les débriefs deviennent difficiles (pas de base commune).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Cadre partiel (recommandé ✅)</w:t>
            </w:r>
          </w:p>
        </w:tc>
        <w:tc>
          <w:tcPr>
            <w:tcW w:type="dxa" w:w="3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Donne la structure minimale sans imposer le contenu. Permet la créativité dans le fond. Facilite le débrief comparatif.</w:t>
            </w:r>
          </w:p>
        </w:tc>
        <w:tc>
          <w:tcPr>
            <w:tcW w:type="dxa" w:w="3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Nécessite plus de travail de conception en amont pour l'animateur.</w:t>
            </w:r>
          </w:p>
        </w:tc>
      </w:tr>
    </w:tbl>
    <w:p>
      <w:pPr>
        <w:spacing w:after="0" w:before="120"/>
      </w:pPr>
      <w:r>
        <w:t xml:space="preserve"/>
      </w:r>
    </w:p>
    <w:p>
      <w:pPr>
        <w:pStyle w:val="Heading2"/>
        <w:spacing w:after="100" w:before="260"/>
      </w:pPr>
      <w:r>
        <w:rPr>
          <w:rFonts w:ascii="Arial" w:cs="Arial" w:eastAsia="Arial" w:hAnsi="Arial"/>
          <w:b/>
          <w:bCs/>
          <w:color w:val="E65100"/>
          <w:sz w:val="26"/>
          <w:szCs w:val="26"/>
        </w:rPr>
        <w:t xml:space="preserve">4.2 La recommandation : le Cadre de Rendu Minimum (CRM)</w:t>
      </w:r>
    </w:p>
    <w:p>
      <w:pPr>
        <w:spacing w:after="80" w:before="80"/>
      </w:pPr>
      <w:r>
        <w:rPr>
          <w:rFonts w:ascii="Arial" w:cs="Arial" w:eastAsia="Arial" w:hAnsi="Arial"/>
          <w:color w:val="212121"/>
          <w:sz w:val="22"/>
          <w:szCs w:val="22"/>
        </w:rPr>
        <w:t xml:space="preserve">Pour un public Bachelor qui travaille en autonomie sur ce module, voici la position recommandée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single" w:color="1B5E20" w:sz="6" w:space="1"/>
              <w:left w:val="single" w:color="1B5E20" w:sz="6" w:space="1"/>
              <w:bottom w:val="single" w:color="1B5E20" w:sz="6" w:space="1"/>
              <w:right w:val="single" w:color="1B5E20" w:sz="6" w:space="1"/>
            </w:tcBorders>
            <w:shd w:fill="1B5E20" w:val="clear"/>
            <w:tcMar>
              <w:top w:type="dxa" w:w="0"/>
              <w:left w:type="dxa" w:w="0"/>
              <w:bottom w:type="dxa" w:w="0"/>
              <w:right w:type="dxa" w:w="0"/>
            </w:tcMar>
          </w:tcPr>
          <w:p>
            <w:r>
              <w:t xml:space="preserve"/>
            </w:r>
          </w:p>
        </w:tc>
        <w:tc>
          <w:tcPr>
            <w:tcW w:type="dxa" w:w="8866"/>
            <w:tcBorders>
              <w:top w:val="single" w:color="1B5E20" w:sz="2"/>
              <w:left w:val="none" w:color="FFFFFF" w:sz="0"/>
              <w:bottom w:val="single" w:color="1B5E20" w:sz="2"/>
              <w:right w:val="single" w:color="1B5E20" w:sz="2"/>
            </w:tcBorders>
            <w:shd w:fill="E8F5E9" w:val="clear"/>
            <w:tcMar>
              <w:top w:type="dxa" w:w="100"/>
              <w:left w:type="dxa" w:w="200"/>
              <w:bottom w:type="dxa" w:w="100"/>
              <w:right w:type="dxa" w:w="160"/>
            </w:tcMar>
          </w:tcPr>
          <w:p>
            <w:pPr>
              <w:spacing w:after="60" w:before="0"/>
            </w:pPr>
            <w:r>
              <w:rPr>
                <w:rFonts w:ascii="Arial" w:cs="Arial" w:eastAsia="Arial" w:hAnsi="Arial"/>
                <w:b/>
                <w:bCs/>
                <w:color w:val="1B5E20"/>
                <w:sz w:val="21"/>
                <w:szCs w:val="21"/>
              </w:rPr>
              <w:t xml:space="preserve">✅ Recommandation</w:t>
            </w:r>
          </w:p>
          <w:p>
            <w:pPr>
              <w:spacing w:after="20" w:before="20"/>
            </w:pPr>
            <w:r>
              <w:rPr>
                <w:rFonts w:ascii="Arial" w:cs="Arial" w:eastAsia="Arial" w:hAnsi="Arial"/>
                <w:color w:val="212121"/>
                <w:sz w:val="21"/>
                <w:szCs w:val="21"/>
              </w:rPr>
              <w:t xml:space="preserve">Fournissez un Cadre de Rendu Minimum (CRM) : la liste des SECTIONS obligatoires + les critères d'évaluation de chaque section.</w:t>
            </w:r>
          </w:p>
          <w:p>
            <w:pPr>
              <w:spacing w:after="20" w:before="20"/>
            </w:pPr>
            <w:r>
              <w:rPr>
                <w:rFonts w:ascii="Arial" w:cs="Arial" w:eastAsia="Arial" w:hAnsi="Arial"/>
                <w:color w:val="212121"/>
                <w:sz w:val="21"/>
                <w:szCs w:val="21"/>
              </w:rPr>
              <w:t xml:space="preserve">Ne fournissez PAS de maquette complète avec mise en forme ou contenu pré-écrit.</w:t>
            </w:r>
          </w:p>
          <w:p>
            <w:pPr>
              <w:spacing w:after="20" w:before="20"/>
            </w:pPr>
            <w:r>
              <w:rPr>
                <w:rFonts w:ascii="Arial" w:cs="Arial" w:eastAsia="Arial" w:hAnsi="Arial"/>
                <w:color w:val="212121"/>
                <w:sz w:val="21"/>
                <w:szCs w:val="21"/>
              </w:rPr>
              <w:t xml:space="preserve">Précisez : 'La forme est libre. Le fond doit couvrir ces points. Voici comment on évaluera.'</w:t>
            </w:r>
          </w:p>
          <w:p>
            <w:pPr>
              <w:spacing w:after="20" w:before="20"/>
            </w:pPr>
            <w:r>
              <w:rPr>
                <w:rFonts w:ascii="Arial" w:cs="Arial" w:eastAsia="Arial" w:hAnsi="Arial"/>
                <w:color w:val="212121"/>
                <w:sz w:val="21"/>
                <w:szCs w:val="21"/>
              </w:rPr>
              <w:t xml:space="preserve">Cela crée de l'autonomie cadrée : les étudiants savent où aller, pas comment y aller.</w:t>
            </w:r>
          </w:p>
        </w:tc>
      </w:tr>
    </w:tbl>
    <w:p>
      <w:pPr>
        <w:spacing w:after="0" w:before="120"/>
      </w:pPr>
      <w:r>
        <w:t xml:space="preserve"/>
      </w:r>
    </w:p>
    <w:p>
      <w:pPr>
        <w:pStyle w:val="Heading2"/>
        <w:spacing w:after="100" w:before="260"/>
      </w:pPr>
      <w:r>
        <w:rPr>
          <w:rFonts w:ascii="Arial" w:cs="Arial" w:eastAsia="Arial" w:hAnsi="Arial"/>
          <w:b/>
          <w:bCs/>
          <w:color w:val="E65100"/>
          <w:sz w:val="26"/>
          <w:szCs w:val="26"/>
        </w:rPr>
        <w:t xml:space="preserve">4.3 Le Cadre de Rendu Minimum – à distribuer aux équipes</w:t>
      </w:r>
    </w:p>
    <w:p>
      <w:pPr>
        <w:spacing w:after="80" w:before="80"/>
      </w:pPr>
      <w:r>
        <w:rPr>
          <w:rFonts w:ascii="Arial" w:cs="Arial" w:eastAsia="Arial" w:hAnsi="Arial"/>
          <w:color w:val="212121"/>
          <w:sz w:val="22"/>
          <w:szCs w:val="22"/>
        </w:rPr>
        <w:t xml:space="preserve">Voici le CRM prêt à l'emploi pour le livrable final du Module 2. Distribuez cette grille en début de module.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SECTION DU LIVRABLE</w:t>
            </w:r>
          </w:p>
        </w:tc>
        <w:tc>
          <w:tcPr>
            <w:tcW w:type="dxa" w:w="3313"/>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CONTENU MINIMUM ATTENDU</w:t>
            </w:r>
          </w:p>
        </w:tc>
        <w:tc>
          <w:tcPr>
            <w:tcW w:type="dxa" w:w="3313"/>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CRITÈRE D'ÉVALUATION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1. Diagnostic des obstacles</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Au moins 4 obstacles identifiés + classement par fréquence/gravité pour le cas SUPERMARKET</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Pertinence des obstacles choisis et qualité de l'argumentation</w:t>
            </w:r>
          </w:p>
        </w:tc>
      </w:tr>
      <w:tr>
        <w:tc>
          <w:tcPr>
            <w:tcW w:type="dxa" w:w="2400"/>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2. Argumentaire Direction</w:t>
            </w:r>
          </w:p>
        </w:tc>
        <w:tc>
          <w:tcPr>
            <w:tcW w:type="dxa" w:w="33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3 arguments structurés pour convaincre le directeur de maintenir le soutien. Format : argument + preuve + réponse aux objections</w:t>
            </w:r>
          </w:p>
        </w:tc>
        <w:tc>
          <w:tcPr>
            <w:tcW w:type="dxa" w:w="33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Solidité de l'argumentaire, réalisme économique, prise en compte des objections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3. Plan de reconnaissance</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Au moins 5 actions de reconnaissance concrètes, classées par coût (0€ / faible / moyen). Justification du choix.</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Diversité des leviers utilisés, faisabilité, cohérence avec les motivations identifiées</w:t>
            </w:r>
          </w:p>
        </w:tc>
      </w:tr>
      <w:tr>
        <w:tc>
          <w:tcPr>
            <w:tcW w:type="dxa" w:w="2400"/>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4. Profil de l'animateur idéal</w:t>
            </w:r>
          </w:p>
        </w:tc>
        <w:tc>
          <w:tcPr>
            <w:tcW w:type="dxa" w:w="33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Description narrative (ou compétences listées) du bon animateur GAM pour SUPERMARKET, avec les 3 qualités les plus importantes et pourquoi.</w:t>
            </w:r>
          </w:p>
        </w:tc>
        <w:tc>
          <w:tcPr>
            <w:tcW w:type="dxa" w:w="33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color w:val="212121"/>
                <w:sz w:val="20"/>
                <w:szCs w:val="20"/>
              </w:rPr>
              <w:t xml:space="preserve">Capacité à aller au-delà du descriptif pour analyser les enjeux relationnels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5. Recommandation finale</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Une recommandation synthétique : faut-il continuer la démarche Kaizen chez SUPERMARKET ? Sous quelles conditions ?</w:t>
            </w:r>
          </w:p>
        </w:tc>
        <w:tc>
          <w:tcPr>
            <w:tcW w:type="dxa" w:w="33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Cohérence avec l'ensemble du livrable, capacité d'argumentation et de prise de position</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single" w:color="4A148C" w:sz="6" w:space="1"/>
              <w:left w:val="single" w:color="4A148C" w:sz="6" w:space="1"/>
              <w:bottom w:val="single" w:color="4A148C" w:sz="6" w:space="1"/>
              <w:right w:val="single" w:color="4A148C" w:sz="6" w:space="1"/>
            </w:tcBorders>
            <w:shd w:fill="4A148C" w:val="clear"/>
            <w:tcMar>
              <w:top w:type="dxa" w:w="0"/>
              <w:left w:type="dxa" w:w="0"/>
              <w:bottom w:type="dxa" w:w="0"/>
              <w:right w:type="dxa" w:w="0"/>
            </w:tcMar>
          </w:tcPr>
          <w:p>
            <w:r>
              <w:t xml:space="preserve"/>
            </w:r>
          </w:p>
        </w:tc>
        <w:tc>
          <w:tcPr>
            <w:tcW w:type="dxa" w:w="8866"/>
            <w:tcBorders>
              <w:top w:val="single" w:color="4A148C" w:sz="2"/>
              <w:left w:val="none" w:color="FFFFFF" w:sz="0"/>
              <w:bottom w:val="single" w:color="4A148C" w:sz="2"/>
              <w:right w:val="single" w:color="4A148C" w:sz="2"/>
            </w:tcBorders>
            <w:shd w:fill="F3E5F5" w:val="clear"/>
            <w:tcMar>
              <w:top w:type="dxa" w:w="100"/>
              <w:left w:type="dxa" w:w="200"/>
              <w:bottom w:type="dxa" w:w="100"/>
              <w:right w:type="dxa" w:w="160"/>
            </w:tcMar>
          </w:tcPr>
          <w:p>
            <w:pPr>
              <w:spacing w:after="60" w:before="0"/>
            </w:pPr>
            <w:r>
              <w:rPr>
                <w:rFonts w:ascii="Arial" w:cs="Arial" w:eastAsia="Arial" w:hAnsi="Arial"/>
                <w:b/>
                <w:bCs/>
                <w:color w:val="4A148C"/>
                <w:sz w:val="21"/>
                <w:szCs w:val="21"/>
              </w:rPr>
              <w:t xml:space="preserve">📐 Format du livrable</w:t>
            </w:r>
          </w:p>
          <w:p>
            <w:pPr>
              <w:spacing w:after="20" w:before="20"/>
            </w:pPr>
            <w:r>
              <w:rPr>
                <w:rFonts w:ascii="Arial" w:cs="Arial" w:eastAsia="Arial" w:hAnsi="Arial"/>
                <w:color w:val="212121"/>
                <w:sz w:val="21"/>
                <w:szCs w:val="21"/>
              </w:rPr>
              <w:t xml:space="preserve">Support : libre (document Word, présentation, tableau, poster…)</w:t>
            </w:r>
          </w:p>
          <w:p>
            <w:pPr>
              <w:spacing w:after="20" w:before="20"/>
            </w:pPr>
            <w:r>
              <w:rPr>
                <w:rFonts w:ascii="Arial" w:cs="Arial" w:eastAsia="Arial" w:hAnsi="Arial"/>
                <w:color w:val="212121"/>
                <w:sz w:val="21"/>
                <w:szCs w:val="21"/>
              </w:rPr>
              <w:t xml:space="preserve">Volume : l'équivalent de 2 à 3 pages A4 de contenu dense, ou 6 à 8 slides.</w:t>
            </w:r>
          </w:p>
          <w:p>
            <w:pPr>
              <w:spacing w:after="20" w:before="20"/>
            </w:pPr>
            <w:r>
              <w:rPr>
                <w:rFonts w:ascii="Arial" w:cs="Arial" w:eastAsia="Arial" w:hAnsi="Arial"/>
                <w:color w:val="212121"/>
                <w:sz w:val="21"/>
                <w:szCs w:val="21"/>
              </w:rPr>
              <w:t xml:space="preserve">Présentation orale : 5 minutes par équipe + 3 minutes de questions.</w:t>
            </w:r>
          </w:p>
          <w:p>
            <w:pPr>
              <w:spacing w:after="20" w:before="20"/>
            </w:pPr>
            <w:r>
              <w:rPr>
                <w:rFonts w:ascii="Arial" w:cs="Arial" w:eastAsia="Arial" w:hAnsi="Arial"/>
                <w:color w:val="212121"/>
                <w:sz w:val="21"/>
                <w:szCs w:val="21"/>
              </w:rPr>
              <w:t xml:space="preserve">À remettre : version numérique à la fin de la session.</w:t>
            </w:r>
          </w:p>
        </w:tc>
      </w:tr>
    </w:tbl>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5. Rythme et tempo – Chronologie du Module 2</w:t>
      </w:r>
    </w:p>
    <w:p>
      <w:pPr>
        <w:spacing w:after="80" w:before="80"/>
      </w:pPr>
      <w:r>
        <w:rPr>
          <w:rFonts w:ascii="Arial" w:cs="Arial" w:eastAsia="Arial" w:hAnsi="Arial"/>
          <w:color w:val="212121"/>
          <w:sz w:val="22"/>
          <w:szCs w:val="22"/>
        </w:rPr>
        <w:t xml:space="preserve">Le Module 2 est plus analytique et débattu que le Module 1. Les phases de travail autonome sont plus longues. L'animateur intervient moins souvent mais de façon plus ciblée.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 DURÉE</w:t>
            </w:r>
          </w:p>
        </w:tc>
        <w:tc>
          <w:tcPr>
            <w:tcW w:type="dxa" w:w="3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426"/>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RÔLE DE L'ANIMATEUR</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10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Mise en tension (cas SUPERMARKET)</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Présenter le cas. Ne pas commenter. Laisser le silence travailler.</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5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Hypothèses collectives</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Recueillir les réponses sans les corriger. Les noter au tableau.</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Cadrage objectifs + remise du CRM</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Présenter les 4 thèmes et distribuer le Cadre de Rendu Minimum.</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30–35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Thème 1 – Obstacles (travail équipe)</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Circuler. Relancer si l'équipe reste en surface. Question-clé : 'Et pourquoi ça arrive ? Qui en est responsable ?'</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Flash débrief Thème 1</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Confrontation des cartographies. Quels obstacles en commun ?</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25–30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Thème 2 – Argumentaire Direction (travail équipe)</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Jouer le rôle du directeur sceptique pour chaque équipe. 2 min par équipe, en visite.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Flash débrief Thème 2</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1 argument par équipe. Vote : lequel est le plus convaincant ?</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20–25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Thème 3 – Motivation/Reconnaissance (travail équipe)</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Observer qui parle, qui se tait. Nommer les silencieux.</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Pause active</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Debout. Les équipes affichent leur plan de reconnaissance. Les autres commentent par post-it.</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15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Thème 4 – Jeu de rôle Animateur-diplomate</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Cadrer le jeu de rôle. Observer. Débriefer les formules utilisées.</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20 min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Finalisation du livrable (CRM complet)</w:t>
            </w:r>
          </w:p>
        </w:tc>
        <w:tc>
          <w:tcPr>
            <w:tcW w:type="dxa" w:w="44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Disponible pour questions. Ne pas faire à leur place.</w:t>
            </w:r>
          </w:p>
        </w:tc>
      </w:tr>
      <w:tr>
        <w:tc>
          <w:tcPr>
            <w:tcW w:type="dxa" w:w="12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20–25 min</w:t>
            </w:r>
          </w:p>
        </w:tc>
        <w:tc>
          <w:tcPr>
            <w:tcW w:type="dxa" w:w="34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Présentations + débrief final</w:t>
            </w:r>
          </w:p>
        </w:tc>
        <w:tc>
          <w:tcPr>
            <w:tcW w:type="dxa" w:w="4426"/>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Faire réagir les équipes entre elles. Revenir aux hypothèses initiales.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71C1C" w:sz="6" w:space="1"/>
              <w:left w:val="single" w:color="B71C1C" w:sz="6" w:space="1"/>
              <w:bottom w:val="none" w:color="FFFFFF" w:sz="0"/>
              <w:right w:val="single" w:color="B71C1C" w:sz="6" w:space="1"/>
            </w:tcBorders>
            <w:shd w:fill="B71C1C" w:val="clear"/>
            <w:tcMar>
              <w:top w:type="dxa" w:w="80"/>
              <w:left w:type="dxa" w:w="180"/>
              <w:bottom w:type="dxa" w:w="80"/>
              <w:right w:type="dxa" w:w="180"/>
            </w:tcMar>
          </w:tcPr>
          <w:p>
            <w:r>
              <w:rPr>
                <w:rFonts w:ascii="Arial" w:cs="Arial" w:eastAsia="Arial" w:hAnsi="Arial"/>
                <w:b/>
                <w:bCs/>
                <w:color w:val="FFFFFF"/>
                <w:sz w:val="22"/>
                <w:szCs w:val="22"/>
              </w:rPr>
              <w:t xml:space="preserve">⚠ Spécificité du timing avec un public Bachelor</w:t>
            </w:r>
          </w:p>
        </w:tc>
      </w:tr>
      <w:tr>
        <w:tc>
          <w:tcPr>
            <w:tcBorders>
              <w:top w:val="none" w:color="FFFFFF" w:sz="0"/>
              <w:left w:val="single" w:color="B71C1C" w:sz="6" w:space="1"/>
              <w:bottom w:val="single" w:color="B71C1C" w:sz="6" w:space="1"/>
              <w:right w:val="single" w:color="B71C1C" w:sz="6" w:space="1"/>
            </w:tcBorders>
            <w:shd w:fill="FFEBEE"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Les phases de travail autonome sont délibérément plus longues qu'en Module 1 (30 min vs 20 min).</w:t>
            </w:r>
          </w:p>
          <w:p>
            <w:pPr>
              <w:spacing w:after="30" w:before="30"/>
            </w:pPr>
            <w:r>
              <w:rPr>
                <w:rFonts w:ascii="Arial" w:cs="Arial" w:eastAsia="Arial" w:hAnsi="Arial"/>
                <w:color w:val="212121"/>
                <w:sz w:val="21"/>
                <w:szCs w:val="21"/>
              </w:rPr>
              <w:t xml:space="preserve">Les étudiants Bachelor peuvent se perdre dans des débats abstraits ou philosophiques : recadrez régulièrement vers le cas concret SUPERMARKET.</w:t>
            </w:r>
          </w:p>
          <w:p>
            <w:pPr>
              <w:spacing w:after="30" w:before="30"/>
            </w:pPr>
            <w:r>
              <w:rPr>
                <w:rFonts w:ascii="Arial" w:cs="Arial" w:eastAsia="Arial" w:hAnsi="Arial"/>
                <w:color w:val="212121"/>
                <w:sz w:val="21"/>
                <w:szCs w:val="21"/>
              </w:rPr>
              <w:t xml:space="preserve">Ne raccourcissez JAMAIS la phase de présentation finale : c'est là que se joue la compétence de prise de position, essentielle pour leur métier futur.</w:t>
            </w:r>
          </w:p>
        </w:tc>
      </w:tr>
    </w:tbl>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6. Gérer l'autonomie d'un public Bachelor</w:t>
      </w:r>
    </w:p>
    <w:p>
      <w:pPr>
        <w:pStyle w:val="Heading2"/>
        <w:spacing w:after="100" w:before="260"/>
      </w:pPr>
      <w:r>
        <w:rPr>
          <w:rFonts w:ascii="Arial" w:cs="Arial" w:eastAsia="Arial" w:hAnsi="Arial"/>
          <w:b/>
          <w:bCs/>
          <w:color w:val="E65100"/>
          <w:sz w:val="26"/>
          <w:szCs w:val="26"/>
        </w:rPr>
        <w:t xml:space="preserve">6.1 Ce qui change par rapport au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13"/>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MODULE 1 – Public mixte</w:t>
            </w:r>
          </w:p>
        </w:tc>
        <w:tc>
          <w:tcPr>
            <w:tcW w:type="dxa" w:w="3213"/>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MODULE 2 – Bachelor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Niveau d'autonomie</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Guidé étape par étape</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Cadre posé, exécution libre</w:t>
            </w:r>
          </w:p>
        </w:tc>
      </w:tr>
      <w:tr>
        <w:tc>
          <w:tcPr>
            <w:tcW w:type="dxa" w:w="26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Questions de l'animateur</w:t>
            </w:r>
          </w:p>
        </w:tc>
        <w:tc>
          <w:tcPr>
            <w:tcW w:type="dxa" w:w="32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 Qu'est-ce que vous écrivez dans cette case ? »</w:t>
            </w:r>
          </w:p>
        </w:tc>
        <w:tc>
          <w:tcPr>
            <w:tcW w:type="dxa" w:w="32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 Pourquoi ce choix ? Qu'est-ce que ça implique ? »</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Gestion des erreurs</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Correction douce, relance par question</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L'erreur est exposée en débrief collectif, pas corrigée en privé</w:t>
            </w:r>
          </w:p>
        </w:tc>
      </w:tr>
      <w:tr>
        <w:tc>
          <w:tcPr>
            <w:tcW w:type="dxa" w:w="2600"/>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Rôle du débrief</w:t>
            </w:r>
          </w:p>
        </w:tc>
        <w:tc>
          <w:tcPr>
            <w:tcW w:type="dxa" w:w="32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Consolider la compréhension d'un outil</w:t>
            </w:r>
          </w:p>
        </w:tc>
        <w:tc>
          <w:tcPr>
            <w:tcW w:type="dxa" w:w="3213"/>
            <w:tcBorders>
              <w:top w:val="single" w:color="CCCCCC" w:sz="2"/>
              <w:left w:val="single" w:color="CCCCCC" w:sz="2"/>
              <w:bottom w:val="single" w:color="CCCCCC" w:sz="2"/>
              <w:right w:val="single" w:color="CCCCCC" w:sz="2"/>
            </w:tcBorders>
            <w:shd w:fill="E8F1FB" w:val="clear"/>
            <w:tcMar>
              <w:top w:type="dxa" w:w="80"/>
              <w:left w:type="dxa" w:w="120"/>
              <w:bottom w:type="dxa" w:w="80"/>
              <w:right w:type="dxa" w:w="120"/>
            </w:tcMar>
          </w:tcPr>
          <w:p>
            <w:r>
              <w:rPr>
                <w:rFonts w:ascii="Arial" w:cs="Arial" w:eastAsia="Arial" w:hAnsi="Arial"/>
                <w:color w:val="212121"/>
                <w:sz w:val="20"/>
                <w:szCs w:val="20"/>
              </w:rPr>
              <w:t xml:space="preserve">Confronter des analyses, défendre une position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Niveau de formalisation attendu</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Livrable simple, exhaustivité suffisante</w:t>
            </w:r>
          </w:p>
        </w:tc>
        <w:tc>
          <w:tcPr>
            <w:tcW w:type="dxa" w:w="32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12121"/>
                <w:sz w:val="20"/>
                <w:szCs w:val="20"/>
              </w:rPr>
              <w:t xml:space="preserve">Livrable argumenté, prise de position requise</w:t>
            </w:r>
          </w:p>
        </w:tc>
      </w:tr>
    </w:tbl>
    <w:p>
      <w:pPr>
        <w:spacing w:after="0" w:before="160"/>
      </w:pPr>
      <w:r>
        <w:t xml:space="preserve"/>
      </w:r>
    </w:p>
    <w:p>
      <w:pPr>
        <w:pStyle w:val="Heading2"/>
        <w:spacing w:after="100" w:before="260"/>
      </w:pPr>
      <w:r>
        <w:rPr>
          <w:rFonts w:ascii="Arial" w:cs="Arial" w:eastAsia="Arial" w:hAnsi="Arial"/>
          <w:b/>
          <w:bCs/>
          <w:color w:val="E65100"/>
          <w:sz w:val="26"/>
          <w:szCs w:val="26"/>
        </w:rPr>
        <w:t xml:space="preserve">6.2 Quand intervenir – et quand ne pas intervenir</w:t>
      </w:r>
    </w:p>
    <w:p>
      <w:pPr>
        <w:spacing w:after="80" w:before="80"/>
      </w:pPr>
      <w:r>
        <w:rPr>
          <w:rFonts w:ascii="Arial" w:cs="Arial" w:eastAsia="Arial" w:hAnsi="Arial"/>
          <w:color w:val="212121"/>
          <w:sz w:val="22"/>
          <w:szCs w:val="22"/>
        </w:rPr>
        <w:t xml:space="preserve">La règle d'or avec un public en autonomie : intervenez sur le PROCESSUS, jamais sur le CONTENU.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5E20" w:sz="2"/>
              <w:left w:val="single" w:color="1B5E20" w:sz="2"/>
              <w:bottom w:val="single" w:color="1B5E20" w:sz="2"/>
              <w:right w:val="single" w:color="1B5E20" w:sz="2"/>
            </w:tcBorders>
            <w:shd w:fill="E8F5E9" w:val="clear"/>
            <w:tcMar>
              <w:top w:type="dxa" w:w="80"/>
              <w:left w:type="dxa" w:w="140"/>
              <w:bottom w:type="dxa" w:w="80"/>
              <w:right w:type="dxa" w:w="120"/>
            </w:tcMar>
          </w:tcPr>
          <w:p>
            <w:r>
              <w:rPr>
                <w:rFonts w:ascii="Arial" w:cs="Arial" w:eastAsia="Arial" w:hAnsi="Arial"/>
                <w:b/>
                <w:bCs/>
                <w:color w:val="1B5E20"/>
                <w:sz w:val="21"/>
                <w:szCs w:val="21"/>
              </w:rPr>
              <w:t xml:space="preserve">INTERVENEZ SI… ✅</w:t>
            </w:r>
          </w:p>
        </w:tc>
        <w:tc>
          <w:tcPr>
            <w:tcW w:type="dxa" w:w="4513"/>
            <w:tcBorders>
              <w:top w:val="single" w:color="B71C1C" w:sz="2"/>
              <w:left w:val="single" w:color="B71C1C" w:sz="2"/>
              <w:bottom w:val="single" w:color="B71C1C" w:sz="2"/>
              <w:right w:val="single" w:color="B71C1C" w:sz="2"/>
            </w:tcBorders>
            <w:shd w:fill="FFEBEE" w:val="clear"/>
            <w:tcMar>
              <w:top w:type="dxa" w:w="80"/>
              <w:left w:type="dxa" w:w="140"/>
              <w:bottom w:type="dxa" w:w="80"/>
              <w:right w:type="dxa" w:w="120"/>
            </w:tcMar>
          </w:tcPr>
          <w:p>
            <w:r>
              <w:rPr>
                <w:rFonts w:ascii="Arial" w:cs="Arial" w:eastAsia="Arial" w:hAnsi="Arial"/>
                <w:b/>
                <w:bCs/>
                <w:color w:val="B71C1C"/>
                <w:sz w:val="21"/>
                <w:szCs w:val="21"/>
              </w:rPr>
              <w:t xml:space="preserve">NE PAS INTERVENIR SI… 🚫</w:t>
            </w:r>
          </w:p>
        </w:tc>
      </w:tr>
      <w:tr>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est bloqué depuis + de 10 min sans avancer</w:t>
            </w:r>
          </w:p>
        </w:tc>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débat vivement mais avance</w:t>
            </w:r>
          </w:p>
        </w:tc>
      </w:tr>
      <w:tr>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Une tension interpersonnelle paralyse le groupe</w:t>
            </w:r>
          </w:p>
        </w:tc>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part dans une direction inattendue mais logique</w:t>
            </w:r>
          </w:p>
        </w:tc>
      </w:tr>
      <w:tr>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sort complètement du sujet du cas</w:t>
            </w:r>
          </w:p>
        </w:tc>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ne remplit pas le CRM dans l'ordre</w:t>
            </w:r>
          </w:p>
        </w:tc>
      </w:tr>
      <w:tr>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étudiant prend toute la parole depuis 15 min</w:t>
            </w:r>
          </w:p>
        </w:tc>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Un groupe choisit un format de livrable non conventionnel</w:t>
            </w:r>
          </w:p>
        </w:tc>
      </w:tr>
      <w:tr>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Le groupe va produire un livrable incomplet sur un point NON négociable du CRM</w:t>
            </w:r>
          </w:p>
        </w:tc>
        <w:tc>
          <w:tcPr>
            <w:tcW w:type="dxa" w:w="451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tcPr>
          <w:p>
            <w:r>
              <w:rPr>
                <w:rFonts w:ascii="Arial" w:cs="Arial" w:eastAsia="Arial" w:hAnsi="Arial"/>
                <w:color w:val="212121"/>
                <w:sz w:val="20"/>
                <w:szCs w:val="20"/>
              </w:rPr>
              <w:t xml:space="preserve">Le groupe critique une décision de la direction SUPERMARKET – c'est du recul analytique</w:t>
            </w:r>
          </w:p>
        </w:tc>
      </w:tr>
    </w:tbl>
    <w:p>
      <w:pPr>
        <w:spacing w:after="0" w:before="160"/>
      </w:pPr>
      <w:r>
        <w:t xml:space="preserve"/>
      </w:r>
    </w:p>
    <w:p>
      <w:pPr>
        <w:pStyle w:val="Heading2"/>
        <w:spacing w:after="100" w:before="260"/>
      </w:pPr>
      <w:r>
        <w:rPr>
          <w:rFonts w:ascii="Arial" w:cs="Arial" w:eastAsia="Arial" w:hAnsi="Arial"/>
          <w:b/>
          <w:bCs/>
          <w:color w:val="E65100"/>
          <w:sz w:val="26"/>
          <w:szCs w:val="26"/>
        </w:rPr>
        <w:t xml:space="preserve">6.3 Questions de relance pour Bachelor</w:t>
      </w:r>
    </w:p>
    <w:p>
      <w:pPr>
        <w:spacing w:after="80" w:before="80"/>
      </w:pPr>
      <w:r>
        <w:rPr>
          <w:rFonts w:ascii="Arial" w:cs="Arial" w:eastAsia="Arial" w:hAnsi="Arial"/>
          <w:color w:val="212121"/>
          <w:sz w:val="22"/>
          <w:szCs w:val="22"/>
        </w:rPr>
        <w:t xml:space="preserve">Quand un groupe est en surface ou tourne en rond, voici les questions qui relancent sans donner la réponse :</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12121"/>
          <w:sz w:val="22"/>
          <w:szCs w:val="22"/>
        </w:rPr>
        <w:t xml:space="preserve">« Si vous étiez le Directeur de SUPERMARKET, qu'est-ce que vous voudriez entendre que vous n'entendez pas ? »</w:t>
      </w:r>
    </w:p>
    <w:p>
      <w:pPr>
        <w:pStyle w:val="ListParagraph"/>
        <w:numPr>
          <w:ilvl w:val="0"/>
          <w:numId w:val="2"/>
        </w:numPr>
        <w:spacing w:after="40" w:before="40"/>
      </w:pPr>
      <w:r>
        <w:rPr>
          <w:rFonts w:ascii="Arial" w:cs="Arial" w:eastAsia="Arial" w:hAnsi="Arial"/>
          <w:b w:val="false"/>
          <w:bCs w:val="false"/>
          <w:color w:val="212121"/>
          <w:sz w:val="22"/>
          <w:szCs w:val="22"/>
        </w:rPr>
        <w:t xml:space="preserve">« Quelle est la différence entre ce que vous écrivez et ce que ferait vraiment un bon manager ? »</w:t>
      </w:r>
    </w:p>
    <w:p>
      <w:pPr>
        <w:pStyle w:val="ListParagraph"/>
        <w:numPr>
          <w:ilvl w:val="0"/>
          <w:numId w:val="2"/>
        </w:numPr>
        <w:spacing w:after="40" w:before="40"/>
      </w:pPr>
      <w:r>
        <w:rPr>
          <w:rFonts w:ascii="Arial" w:cs="Arial" w:eastAsia="Arial" w:hAnsi="Arial"/>
          <w:b w:val="false"/>
          <w:bCs w:val="false"/>
          <w:color w:val="212121"/>
          <w:sz w:val="22"/>
          <w:szCs w:val="22"/>
        </w:rPr>
        <w:t xml:space="preserve">« Est-ce que votre réponse s'appliquerait dans n'importe quelle entreprise, ou seulement dans ce cas ? »</w:t>
      </w:r>
    </w:p>
    <w:p>
      <w:pPr>
        <w:pStyle w:val="ListParagraph"/>
        <w:numPr>
          <w:ilvl w:val="0"/>
          <w:numId w:val="2"/>
        </w:numPr>
        <w:spacing w:after="40" w:before="40"/>
      </w:pPr>
      <w:r>
        <w:rPr>
          <w:rFonts w:ascii="Arial" w:cs="Arial" w:eastAsia="Arial" w:hAnsi="Arial"/>
          <w:b w:val="false"/>
          <w:bCs w:val="false"/>
          <w:color w:val="212121"/>
          <w:sz w:val="22"/>
          <w:szCs w:val="22"/>
        </w:rPr>
        <w:t xml:space="preserve">« Quel est le risque principal si on fait ça ? Qui pourrait s'y opposer ? »</w:t>
      </w:r>
    </w:p>
    <w:p>
      <w:pPr>
        <w:pStyle w:val="ListParagraph"/>
        <w:numPr>
          <w:ilvl w:val="0"/>
          <w:numId w:val="2"/>
        </w:numPr>
        <w:spacing w:after="40" w:before="40"/>
      </w:pPr>
      <w:r>
        <w:rPr>
          <w:rFonts w:ascii="Arial" w:cs="Arial" w:eastAsia="Arial" w:hAnsi="Arial"/>
          <w:b w:val="false"/>
          <w:bCs w:val="false"/>
          <w:color w:val="212121"/>
          <w:sz w:val="22"/>
          <w:szCs w:val="22"/>
        </w:rPr>
        <w:t xml:space="preserve">« En tant que chargé d'affaires en poste dans 2 ans, est-ce que vous utiliseriez vraiment ce que vous écrivez ? »</w:t>
      </w:r>
    </w:p>
    <w:p>
      <w:r>
        <w:br w:type="page"/>
      </w:r>
    </w:p>
    <w:p>
      <w:pPr>
        <w:pStyle w:val="Heading1"/>
        <w:pBdr>
          <w:bottom w:val="single" w:color="1565C0" w:sz="8" w:space="4"/>
        </w:pBdr>
        <w:spacing w:after="180" w:before="360"/>
      </w:pPr>
      <w:r>
        <w:rPr>
          <w:rFonts w:ascii="Arial" w:cs="Arial" w:eastAsia="Arial" w:hAnsi="Arial"/>
          <w:b/>
          <w:bCs/>
          <w:color w:val="0D3B66"/>
          <w:sz w:val="32"/>
          <w:szCs w:val="32"/>
        </w:rPr>
        <w:t xml:space="preserve">7. Débrief final et évaluation</w:t>
      </w:r>
    </w:p>
    <w:p>
      <w:pPr>
        <w:pStyle w:val="Heading2"/>
        <w:spacing w:after="100" w:before="260"/>
      </w:pPr>
      <w:r>
        <w:rPr>
          <w:rFonts w:ascii="Arial" w:cs="Arial" w:eastAsia="Arial" w:hAnsi="Arial"/>
          <w:b/>
          <w:bCs/>
          <w:color w:val="E65100"/>
          <w:sz w:val="26"/>
          <w:szCs w:val="26"/>
        </w:rPr>
        <w:t xml:space="preserve">7.1 Structure du débrief final (20–25 min)</w:t>
      </w:r>
    </w:p>
    <w:p>
      <w:pPr>
        <w:pStyle w:val="ListParagraph"/>
        <w:numPr>
          <w:ilvl w:val="0"/>
          <w:numId w:val="3"/>
        </w:numPr>
        <w:spacing w:after="40" w:before="40"/>
      </w:pPr>
      <w:r>
        <w:rPr>
          <w:rFonts w:ascii="Arial" w:cs="Arial" w:eastAsia="Arial" w:hAnsi="Arial"/>
          <w:color w:val="212121"/>
          <w:sz w:val="22"/>
          <w:szCs w:val="22"/>
        </w:rPr>
        <w:t xml:space="preserve">Retour aux hypothèses initiales (5 min) : « Vous avez dit en début de session que SUPERMARKET avait échoué à cause de [leurs réponses]. Est-ce que vous maintenez ça ? Qu'est-ce que vous ajouteriez maintenant ? »</w:t>
      </w:r>
    </w:p>
    <w:p>
      <w:pPr>
        <w:pStyle w:val="ListParagraph"/>
        <w:numPr>
          <w:ilvl w:val="0"/>
          <w:numId w:val="3"/>
        </w:numPr>
        <w:spacing w:after="40" w:before="40"/>
      </w:pPr>
      <w:r>
        <w:rPr>
          <w:rFonts w:ascii="Arial" w:cs="Arial" w:eastAsia="Arial" w:hAnsi="Arial"/>
          <w:color w:val="212121"/>
          <w:sz w:val="22"/>
          <w:szCs w:val="22"/>
        </w:rPr>
        <w:t xml:space="preserve">Présentation par équipe (5 min/équipe) : chaque groupe présente SA recommandation finale. Les autres peuvent challenger.</w:t>
      </w:r>
    </w:p>
    <w:p>
      <w:pPr>
        <w:pStyle w:val="ListParagraph"/>
        <w:numPr>
          <w:ilvl w:val="0"/>
          <w:numId w:val="3"/>
        </w:numPr>
        <w:spacing w:after="40" w:before="40"/>
      </w:pPr>
      <w:r>
        <w:rPr>
          <w:rFonts w:ascii="Arial" w:cs="Arial" w:eastAsia="Arial" w:hAnsi="Arial"/>
          <w:color w:val="212121"/>
          <w:sz w:val="22"/>
          <w:szCs w:val="22"/>
        </w:rPr>
        <w:t xml:space="preserve">Confrontation des recommandations (5 min) : l'animateur joue l'avocat du diable face à chaque position. « Et si le directeur dit non ? »</w:t>
      </w:r>
    </w:p>
    <w:p>
      <w:pPr>
        <w:pStyle w:val="ListParagraph"/>
        <w:numPr>
          <w:ilvl w:val="0"/>
          <w:numId w:val="3"/>
        </w:numPr>
        <w:spacing w:after="40" w:before="40"/>
      </w:pPr>
      <w:r>
        <w:rPr>
          <w:rFonts w:ascii="Arial" w:cs="Arial" w:eastAsia="Arial" w:hAnsi="Arial"/>
          <w:color w:val="212121"/>
          <w:sz w:val="22"/>
          <w:szCs w:val="22"/>
        </w:rPr>
        <w:t xml:space="preserve">Synthèse des apprentissages (5 min) : l'animateur fait le lien entre les 4 thèmes et la réalité professionnelle.</w:t>
      </w:r>
    </w:p>
    <w:p>
      <w:pPr>
        <w:spacing w:after="0" w:before="80"/>
      </w:pPr>
      <w:r>
        <w:t xml:space="preserve"/>
      </w:r>
    </w:p>
    <w:p>
      <w:pPr>
        <w:pStyle w:val="Heading2"/>
        <w:spacing w:after="100" w:before="260"/>
      </w:pPr>
      <w:r>
        <w:rPr>
          <w:rFonts w:ascii="Arial" w:cs="Arial" w:eastAsia="Arial" w:hAnsi="Arial"/>
          <w:b/>
          <w:bCs/>
          <w:color w:val="E65100"/>
          <w:sz w:val="26"/>
          <w:szCs w:val="26"/>
        </w:rPr>
        <w:t xml:space="preserve">7.2 Grille d'évaluation du livrable (CRM)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13"/>
        <w:gridCol w:w="4013"/>
      </w:tblGrid>
      <w:tr>
        <w:tc>
          <w:tcPr>
            <w:tcW w:type="dxa" w:w="3500"/>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513"/>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013"/>
            <w:tcBorders>
              <w:top w:val="single" w:color="4A148C" w:sz="2"/>
              <w:left w:val="single" w:color="4A148C" w:sz="2"/>
              <w:bottom w:val="single" w:color="4A148C" w:sz="2"/>
              <w:right w:val="single" w:color="4A148C" w:sz="2"/>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INDICATEURS</w:t>
            </w:r>
          </w:p>
        </w:tc>
      </w:tr>
      <w:tr>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Exhaustivité du CRM (5 sections couvertes)</w:t>
            </w:r>
          </w:p>
        </w:tc>
        <w:tc>
          <w:tcPr>
            <w:tcW w:type="dxa" w:w="1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4A148C"/>
                <w:sz w:val="20"/>
                <w:szCs w:val="20"/>
              </w:rPr>
              <w:t xml:space="preserve">/5</w:t>
            </w:r>
          </w:p>
        </w:tc>
        <w:tc>
          <w:tcPr>
            <w:tcW w:type="dxa" w:w="4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Toutes les sections sont présentes et développées</w:t>
            </w:r>
          </w:p>
        </w:tc>
      </w:tr>
      <w:tr>
        <w:tc>
          <w:tcPr>
            <w:tcW w:type="dxa" w:w="3500"/>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Pertinence et profondeur de l'analyse</w:t>
            </w:r>
          </w:p>
        </w:tc>
        <w:tc>
          <w:tcPr>
            <w:tcW w:type="dxa" w:w="15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bCs/>
                <w:color w:val="4A148C"/>
                <w:sz w:val="20"/>
                <w:szCs w:val="20"/>
              </w:rPr>
              <w:t xml:space="preserve">/5</w:t>
            </w:r>
          </w:p>
        </w:tc>
        <w:tc>
          <w:tcPr>
            <w:tcW w:type="dxa" w:w="40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Arguments étayés, obstacles bien choisis, pas de généralités vides</w:t>
            </w:r>
          </w:p>
        </w:tc>
      </w:tr>
      <w:tr>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Réalisme et faisabilité des propositions</w:t>
            </w:r>
          </w:p>
        </w:tc>
        <w:tc>
          <w:tcPr>
            <w:tcW w:type="dxa" w:w="1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4A148C"/>
                <w:sz w:val="20"/>
                <w:szCs w:val="20"/>
              </w:rPr>
              <w:t xml:space="preserve">/4</w:t>
            </w:r>
          </w:p>
        </w:tc>
        <w:tc>
          <w:tcPr>
            <w:tcW w:type="dxa" w:w="4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Les actions proposées sont applicables concrètement</w:t>
            </w:r>
          </w:p>
        </w:tc>
      </w:tr>
      <w:tr>
        <w:tc>
          <w:tcPr>
            <w:tcW w:type="dxa" w:w="3500"/>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Capacité à prendre position</w:t>
            </w:r>
          </w:p>
        </w:tc>
        <w:tc>
          <w:tcPr>
            <w:tcW w:type="dxa" w:w="15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bCs/>
                <w:color w:val="4A148C"/>
                <w:sz w:val="20"/>
                <w:szCs w:val="20"/>
              </w:rPr>
              <w:t xml:space="preserve">/3</w:t>
            </w:r>
          </w:p>
        </w:tc>
        <w:tc>
          <w:tcPr>
            <w:tcW w:type="dxa" w:w="4013"/>
            <w:tcBorders>
              <w:top w:val="single" w:color="CCCCCC" w:sz="2"/>
              <w:left w:val="single" w:color="CCCCCC" w:sz="2"/>
              <w:bottom w:val="single" w:color="CCCCCC" w:sz="2"/>
              <w:right w:val="single" w:color="CCCCCC" w:sz="2"/>
            </w:tcBorders>
            <w:shd w:fill="F3E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Recommandation finale claire, défendue avec des arguments</w:t>
            </w:r>
          </w:p>
        </w:tc>
      </w:tr>
      <w:tr>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Qualité de la présentation orale</w:t>
            </w:r>
          </w:p>
        </w:tc>
        <w:tc>
          <w:tcPr>
            <w:tcW w:type="dxa" w:w="15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4A148C"/>
                <w:sz w:val="20"/>
                <w:szCs w:val="20"/>
              </w:rPr>
              <w:t xml:space="preserve">/3</w:t>
            </w:r>
          </w:p>
        </w:tc>
        <w:tc>
          <w:tcPr>
            <w:tcW w:type="dxa" w:w="4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Clarté, conviction, gestion des questions</w:t>
            </w:r>
          </w:p>
        </w:tc>
      </w:tr>
      <w:tr>
        <w:tc>
          <w:tcPr>
            <w:tcW w:type="dxa" w:w="3500"/>
            <w:tcBorders>
              <w:top w:val="single" w:color="4A148C" w:sz="2"/>
              <w:left w:val="single" w:color="4A148C" w:sz="2"/>
              <w:bottom w:val="single" w:color="4A148C" w:sz="2"/>
              <w:right w:val="single" w:color="4A148C" w:sz="2"/>
            </w:tcBorders>
            <w:shd w:fill="F3E5F5" w:val="clear"/>
            <w:tcMar>
              <w:top w:type="dxa" w:w="80"/>
              <w:left w:type="dxa" w:w="120"/>
              <w:bottom w:type="dxa" w:w="80"/>
              <w:right w:type="dxa" w:w="120"/>
            </w:tcMar>
          </w:tcPr>
          <w:p>
            <w:r>
              <w:rPr>
                <w:rFonts w:ascii="Arial" w:cs="Arial" w:eastAsia="Arial" w:hAnsi="Arial"/>
                <w:b/>
                <w:bCs/>
                <w:color w:val="4A148C"/>
                <w:sz w:val="21"/>
                <w:szCs w:val="21"/>
              </w:rPr>
              <w:t xml:space="preserve">TOTAL</w:t>
            </w:r>
          </w:p>
        </w:tc>
        <w:tc>
          <w:tcPr>
            <w:tcW w:type="dxa" w:w="1513"/>
            <w:tcBorders>
              <w:top w:val="single" w:color="4A148C" w:sz="2"/>
              <w:left w:val="single" w:color="4A148C" w:sz="2"/>
              <w:bottom w:val="single" w:color="4A148C" w:sz="2"/>
              <w:right w:val="single" w:color="4A148C" w:sz="2"/>
            </w:tcBorders>
            <w:shd w:fill="F3E5F5" w:val="clear"/>
            <w:tcMar>
              <w:top w:type="dxa" w:w="80"/>
              <w:left w:type="dxa" w:w="120"/>
              <w:bottom w:type="dxa" w:w="80"/>
              <w:right w:type="dxa" w:w="120"/>
            </w:tcMar>
          </w:tcPr>
          <w:p>
            <w:r>
              <w:rPr>
                <w:rFonts w:ascii="Arial" w:cs="Arial" w:eastAsia="Arial" w:hAnsi="Arial"/>
                <w:b/>
                <w:bCs/>
                <w:color w:val="4A148C"/>
                <w:sz w:val="21"/>
                <w:szCs w:val="21"/>
              </w:rPr>
              <w:t xml:space="preserve">/20</w:t>
            </w:r>
          </w:p>
        </w:tc>
        <w:tc>
          <w:tcPr>
            <w:tcW w:type="dxa" w:w="4013"/>
            <w:tcBorders>
              <w:top w:val="single" w:color="4A148C" w:sz="2"/>
              <w:left w:val="single" w:color="4A148C" w:sz="2"/>
              <w:bottom w:val="single" w:color="4A148C" w:sz="2"/>
              <w:right w:val="single" w:color="4A148C" w:sz="2"/>
            </w:tcBorders>
            <w:shd w:fill="F3E5F5" w:val="clear"/>
            <w:tcMar>
              <w:top w:type="dxa" w:w="80"/>
              <w:left w:type="dxa" w:w="120"/>
              <w:bottom w:type="dxa" w:w="80"/>
              <w:right w:type="dxa" w:w="120"/>
            </w:tcMar>
          </w:tcPr>
          <w:p>
            <w:r>
              <w:rPr>
                <w:rFonts w:ascii="Arial" w:cs="Arial" w:eastAsia="Arial" w:hAnsi="Arial"/>
                <w:b/>
                <w:bCs/>
                <w:color w:val="4A148C"/>
                <w:sz w:val="21"/>
                <w:szCs w:val="21"/>
              </w:rPr>
              <w:t xml:space="preserve"/>
            </w:r>
          </w:p>
        </w:tc>
      </w:tr>
    </w:tbl>
    <w:p>
      <w:pPr>
        <w:spacing w:after="0" w:before="160"/>
      </w:pPr>
      <w:r>
        <w:t xml:space="preserve"/>
      </w:r>
    </w:p>
    <w:p>
      <w:pPr>
        <w:pStyle w:val="Heading1"/>
        <w:pBdr>
          <w:bottom w:val="single" w:color="1565C0" w:sz="8" w:space="4"/>
        </w:pBdr>
        <w:spacing w:after="180" w:before="360"/>
      </w:pPr>
      <w:r>
        <w:rPr>
          <w:rFonts w:ascii="Arial" w:cs="Arial" w:eastAsia="Arial" w:hAnsi="Arial"/>
          <w:b/>
          <w:bCs/>
          <w:color w:val="0D3B66"/>
          <w:sz w:val="32"/>
          <w:szCs w:val="32"/>
        </w:rPr>
        <w:t xml:space="preserve">8. Check-list animateur Module 2</w:t>
      </w:r>
    </w:p>
    <w:p>
      <w:pPr>
        <w:pStyle w:val="Heading2"/>
        <w:spacing w:after="100" w:before="260"/>
      </w:pPr>
      <w:r>
        <w:rPr>
          <w:rFonts w:ascii="Arial" w:cs="Arial" w:eastAsia="Arial" w:hAnsi="Arial"/>
          <w:b/>
          <w:bCs/>
          <w:color w:val="E65100"/>
          <w:sz w:val="26"/>
          <w:szCs w:val="26"/>
        </w:rPr>
        <w:t xml:space="preserve">Avant la session</w:t>
      </w:r>
    </w:p>
    <w:p>
      <w:pPr>
        <w:pStyle w:val="ListParagraph"/>
        <w:numPr>
          <w:ilvl w:val="0"/>
          <w:numId w:val="2"/>
        </w:numPr>
        <w:spacing w:after="40" w:before="40"/>
      </w:pPr>
      <w:r>
        <w:rPr>
          <w:rFonts w:ascii="Arial" w:cs="Arial" w:eastAsia="Arial" w:hAnsi="Arial"/>
          <w:b w:val="false"/>
          <w:bCs w:val="false"/>
          <w:color w:val="212121"/>
          <w:sz w:val="22"/>
          <w:szCs w:val="22"/>
        </w:rPr>
        <w:t xml:space="preserve">Cas SUPERMARKET (résultats en échec) prêt à projeter ou à imprimer</w:t>
      </w:r>
    </w:p>
    <w:p>
      <w:pPr>
        <w:pStyle w:val="ListParagraph"/>
        <w:numPr>
          <w:ilvl w:val="0"/>
          <w:numId w:val="2"/>
        </w:numPr>
        <w:spacing w:after="40" w:before="40"/>
      </w:pPr>
      <w:r>
        <w:rPr>
          <w:rFonts w:ascii="Arial" w:cs="Arial" w:eastAsia="Arial" w:hAnsi="Arial"/>
          <w:b w:val="false"/>
          <w:bCs w:val="false"/>
          <w:color w:val="212121"/>
          <w:sz w:val="22"/>
          <w:szCs w:val="22"/>
        </w:rPr>
        <w:t xml:space="preserve">Cadre de Rendu Minimum (CRM) imprimé – 1 exemplaire par équipe</w:t>
      </w:r>
    </w:p>
    <w:p>
      <w:pPr>
        <w:pStyle w:val="ListParagraph"/>
        <w:numPr>
          <w:ilvl w:val="0"/>
          <w:numId w:val="2"/>
        </w:numPr>
        <w:spacing w:after="40" w:before="40"/>
      </w:pPr>
      <w:r>
        <w:rPr>
          <w:rFonts w:ascii="Arial" w:cs="Arial" w:eastAsia="Arial" w:hAnsi="Arial"/>
          <w:b w:val="false"/>
          <w:bCs w:val="false"/>
          <w:color w:val="212121"/>
          <w:sz w:val="22"/>
          <w:szCs w:val="22"/>
        </w:rPr>
        <w:t xml:space="preserve">Grille d'évaluation imprimée – 1 par équipe (ils la reçoivent en même temps que le CRM)</w:t>
      </w:r>
    </w:p>
    <w:p>
      <w:pPr>
        <w:pStyle w:val="ListParagraph"/>
        <w:numPr>
          <w:ilvl w:val="0"/>
          <w:numId w:val="2"/>
        </w:numPr>
        <w:spacing w:after="40" w:before="40"/>
      </w:pPr>
      <w:r>
        <w:rPr>
          <w:rFonts w:ascii="Arial" w:cs="Arial" w:eastAsia="Arial" w:hAnsi="Arial"/>
          <w:b w:val="false"/>
          <w:bCs w:val="false"/>
          <w:color w:val="212121"/>
          <w:sz w:val="22"/>
          <w:szCs w:val="22"/>
        </w:rPr>
        <w:t xml:space="preserve">Post-it pour la pause active (plan de reconnaissance)</w:t>
      </w:r>
    </w:p>
    <w:p>
      <w:pPr>
        <w:pStyle w:val="ListParagraph"/>
        <w:numPr>
          <w:ilvl w:val="0"/>
          <w:numId w:val="2"/>
        </w:numPr>
        <w:spacing w:after="40" w:before="40"/>
      </w:pPr>
      <w:r>
        <w:rPr>
          <w:rFonts w:ascii="Arial" w:cs="Arial" w:eastAsia="Arial" w:hAnsi="Arial"/>
          <w:b w:val="false"/>
          <w:bCs w:val="false"/>
          <w:color w:val="212121"/>
          <w:sz w:val="22"/>
          <w:szCs w:val="22"/>
        </w:rPr>
        <w:t xml:space="preserve">Tableau blanc ou flip chart pour noter les hypothèses initiales (elles restent visibles toute la session)</w:t>
      </w:r>
    </w:p>
    <w:p>
      <w:pPr>
        <w:pStyle w:val="ListParagraph"/>
        <w:numPr>
          <w:ilvl w:val="0"/>
          <w:numId w:val="2"/>
        </w:numPr>
        <w:spacing w:after="40" w:before="40"/>
      </w:pPr>
      <w:r>
        <w:rPr>
          <w:rFonts w:ascii="Arial" w:cs="Arial" w:eastAsia="Arial" w:hAnsi="Arial"/>
          <w:b w:val="false"/>
          <w:bCs w:val="false"/>
          <w:color w:val="212121"/>
          <w:sz w:val="22"/>
          <w:szCs w:val="22"/>
        </w:rPr>
        <w:t xml:space="preserve">Module 1 complété : vérifier que tous les participants ont bien fait le Module 1</w:t>
      </w:r>
    </w:p>
    <w:p>
      <w:pPr>
        <w:spacing w:after="0" w:before="100"/>
      </w:pPr>
      <w:r>
        <w:t xml:space="preserve"/>
      </w:r>
    </w:p>
    <w:p>
      <w:pPr>
        <w:pStyle w:val="Heading2"/>
        <w:spacing w:after="100" w:before="260"/>
      </w:pPr>
      <w:r>
        <w:rPr>
          <w:rFonts w:ascii="Arial" w:cs="Arial" w:eastAsia="Arial" w:hAnsi="Arial"/>
          <w:b/>
          <w:bCs/>
          <w:color w:val="E65100"/>
          <w:sz w:val="26"/>
          <w:szCs w:val="26"/>
        </w:rPr>
        <w:t xml:space="preserve">Pendant la session</w:t>
      </w:r>
    </w:p>
    <w:p>
      <w:pPr>
        <w:pStyle w:val="ListParagraph"/>
        <w:numPr>
          <w:ilvl w:val="0"/>
          <w:numId w:val="2"/>
        </w:numPr>
        <w:spacing w:after="40" w:before="40"/>
      </w:pPr>
      <w:r>
        <w:rPr>
          <w:rFonts w:ascii="Arial" w:cs="Arial" w:eastAsia="Arial" w:hAnsi="Arial"/>
          <w:b w:val="false"/>
          <w:bCs w:val="false"/>
          <w:color w:val="212121"/>
          <w:sz w:val="22"/>
          <w:szCs w:val="22"/>
        </w:rPr>
        <w:t xml:space="preserve">Les hypothèses initiales sont notées et restent affichées</w:t>
      </w:r>
    </w:p>
    <w:p>
      <w:pPr>
        <w:pStyle w:val="ListParagraph"/>
        <w:numPr>
          <w:ilvl w:val="0"/>
          <w:numId w:val="2"/>
        </w:numPr>
        <w:spacing w:after="40" w:before="40"/>
      </w:pPr>
      <w:r>
        <w:rPr>
          <w:rFonts w:ascii="Arial" w:cs="Arial" w:eastAsia="Arial" w:hAnsi="Arial"/>
          <w:b w:val="false"/>
          <w:bCs w:val="false"/>
          <w:color w:val="212121"/>
          <w:sz w:val="22"/>
          <w:szCs w:val="22"/>
        </w:rPr>
        <w:t xml:space="preserve">Le CRM est distribué APRÈS la mise en tension initiale (pas avant)</w:t>
      </w:r>
    </w:p>
    <w:p>
      <w:pPr>
        <w:pStyle w:val="ListParagraph"/>
        <w:numPr>
          <w:ilvl w:val="0"/>
          <w:numId w:val="2"/>
        </w:numPr>
        <w:spacing w:after="40" w:before="40"/>
      </w:pPr>
      <w:r>
        <w:rPr>
          <w:rFonts w:ascii="Arial" w:cs="Arial" w:eastAsia="Arial" w:hAnsi="Arial"/>
          <w:b w:val="false"/>
          <w:bCs w:val="false"/>
          <w:color w:val="212121"/>
          <w:sz w:val="22"/>
          <w:szCs w:val="22"/>
        </w:rPr>
        <w:t xml:space="preserve">Vous intervenez sur le processus, jamais sur le contenu</w:t>
      </w:r>
    </w:p>
    <w:p>
      <w:pPr>
        <w:pStyle w:val="ListParagraph"/>
        <w:numPr>
          <w:ilvl w:val="0"/>
          <w:numId w:val="2"/>
        </w:numPr>
        <w:spacing w:after="40" w:before="40"/>
      </w:pPr>
      <w:r>
        <w:rPr>
          <w:rFonts w:ascii="Arial" w:cs="Arial" w:eastAsia="Arial" w:hAnsi="Arial"/>
          <w:b w:val="false"/>
          <w:bCs w:val="false"/>
          <w:color w:val="212121"/>
          <w:sz w:val="22"/>
          <w:szCs w:val="22"/>
        </w:rPr>
        <w:t xml:space="preserve">Le jeu de rôle Thème 4 dure au minimum 15 minutes</w:t>
      </w:r>
    </w:p>
    <w:p>
      <w:pPr>
        <w:pStyle w:val="ListParagraph"/>
        <w:numPr>
          <w:ilvl w:val="0"/>
          <w:numId w:val="2"/>
        </w:numPr>
        <w:spacing w:after="40" w:before="40"/>
      </w:pPr>
      <w:r>
        <w:rPr>
          <w:rFonts w:ascii="Arial" w:cs="Arial" w:eastAsia="Arial" w:hAnsi="Arial"/>
          <w:b w:val="false"/>
          <w:bCs w:val="false"/>
          <w:color w:val="212121"/>
          <w:sz w:val="22"/>
          <w:szCs w:val="22"/>
        </w:rPr>
        <w:t xml:space="preserve">Chaque groupe présente sa recommandation finale (pas optionnel)</w:t>
      </w:r>
    </w:p>
    <w:p>
      <w:pPr>
        <w:pStyle w:val="ListParagraph"/>
        <w:numPr>
          <w:ilvl w:val="0"/>
          <w:numId w:val="2"/>
        </w:numPr>
        <w:spacing w:after="40" w:before="40"/>
      </w:pPr>
      <w:r>
        <w:rPr>
          <w:rFonts w:ascii="Arial" w:cs="Arial" w:eastAsia="Arial" w:hAnsi="Arial"/>
          <w:b w:val="false"/>
          <w:bCs w:val="false"/>
          <w:color w:val="212121"/>
          <w:sz w:val="22"/>
          <w:szCs w:val="22"/>
        </w:rPr>
        <w:t xml:space="preserve">Vous revenez aux hypothèses initiales lors du débrief</w:t>
      </w:r>
    </w:p>
    <w:p>
      <w:pPr>
        <w:spacing w:after="0" w:before="100"/>
      </w:pPr>
      <w:r>
        <w:t xml:space="preserve"/>
      </w:r>
    </w:p>
    <w:p>
      <w:pPr>
        <w:pStyle w:val="Heading2"/>
        <w:spacing w:after="100" w:before="260"/>
      </w:pPr>
      <w:r>
        <w:rPr>
          <w:rFonts w:ascii="Arial" w:cs="Arial" w:eastAsia="Arial" w:hAnsi="Arial"/>
          <w:b/>
          <w:bCs/>
          <w:color w:val="E65100"/>
          <w:sz w:val="26"/>
          <w:szCs w:val="26"/>
        </w:rPr>
        <w:t xml:space="preserve">Après la session</w:t>
      </w:r>
    </w:p>
    <w:p>
      <w:pPr>
        <w:pStyle w:val="ListParagraph"/>
        <w:numPr>
          <w:ilvl w:val="0"/>
          <w:numId w:val="2"/>
        </w:numPr>
        <w:spacing w:after="40" w:before="40"/>
      </w:pPr>
      <w:r>
        <w:rPr>
          <w:rFonts w:ascii="Arial" w:cs="Arial" w:eastAsia="Arial" w:hAnsi="Arial"/>
          <w:b w:val="false"/>
          <w:bCs w:val="false"/>
          <w:color w:val="212121"/>
          <w:sz w:val="22"/>
          <w:szCs w:val="22"/>
        </w:rPr>
        <w:t xml:space="preserve">Collecte des livrables numériques</w:t>
      </w:r>
    </w:p>
    <w:p>
      <w:pPr>
        <w:pStyle w:val="ListParagraph"/>
        <w:numPr>
          <w:ilvl w:val="0"/>
          <w:numId w:val="2"/>
        </w:numPr>
        <w:spacing w:after="40" w:before="40"/>
      </w:pPr>
      <w:r>
        <w:rPr>
          <w:rFonts w:ascii="Arial" w:cs="Arial" w:eastAsia="Arial" w:hAnsi="Arial"/>
          <w:b w:val="false"/>
          <w:bCs w:val="false"/>
          <w:color w:val="212121"/>
          <w:sz w:val="22"/>
          <w:szCs w:val="22"/>
        </w:rPr>
        <w:t xml:space="preserve">Grille d'évaluation remplie par groupe</w:t>
      </w:r>
    </w:p>
    <w:p>
      <w:pPr>
        <w:pStyle w:val="ListParagraph"/>
        <w:numPr>
          <w:ilvl w:val="0"/>
          <w:numId w:val="2"/>
        </w:numPr>
        <w:spacing w:after="40" w:before="40"/>
      </w:pPr>
      <w:r>
        <w:rPr>
          <w:rFonts w:ascii="Arial" w:cs="Arial" w:eastAsia="Arial" w:hAnsi="Arial"/>
          <w:b w:val="false"/>
          <w:bCs w:val="false"/>
          <w:color w:val="212121"/>
          <w:sz w:val="22"/>
          <w:szCs w:val="22"/>
        </w:rPr>
        <w:t xml:space="preserve">Note personnelle : quels thèmes ont généré les meilleurs débats ? Lesquels ont semblé abstraits ?</w:t>
      </w:r>
    </w:p>
    <w:p>
      <w:pPr>
        <w:pStyle w:val="ListParagraph"/>
        <w:numPr>
          <w:ilvl w:val="0"/>
          <w:numId w:val="2"/>
        </w:numPr>
        <w:spacing w:after="40" w:before="40"/>
      </w:pPr>
      <w:r>
        <w:rPr>
          <w:rFonts w:ascii="Arial" w:cs="Arial" w:eastAsia="Arial" w:hAnsi="Arial"/>
          <w:b w:val="false"/>
          <w:bCs w:val="false"/>
          <w:color w:val="212121"/>
          <w:sz w:val="22"/>
          <w:szCs w:val="22"/>
        </w:rPr>
        <w:t xml:space="preserve">Optionnel mais recommandé : partager avec les étudiants un exemple de livrable réussi (anonymisé d'une session précédente) comme référence pour leur mémoire professionnelle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B66" w:sz="6" w:space="1"/>
              <w:left w:val="single" w:color="0D3B66" w:sz="6" w:space="1"/>
              <w:bottom w:val="none" w:color="FFFFFF" w:sz="0"/>
              <w:right w:val="single" w:color="0D3B66" w:sz="6" w:space="1"/>
            </w:tcBorders>
            <w:shd w:fill="0D3B66" w:val="clear"/>
            <w:tcMar>
              <w:top w:type="dxa" w:w="80"/>
              <w:left w:type="dxa" w:w="180"/>
              <w:bottom w:type="dxa" w:w="80"/>
              <w:right w:type="dxa" w:w="180"/>
            </w:tcMar>
          </w:tcPr>
          <w:p>
            <w:r>
              <w:rPr>
                <w:rFonts w:ascii="Arial" w:cs="Arial" w:eastAsia="Arial" w:hAnsi="Arial"/>
                <w:b/>
                <w:bCs/>
                <w:color w:val="FFFFFF"/>
                <w:sz w:val="22"/>
                <w:szCs w:val="22"/>
              </w:rPr>
              <w:t xml:space="preserve">🔗 Lien entre Module 2 et les débouchés Bachelor</w:t>
            </w:r>
          </w:p>
        </w:tc>
      </w:tr>
      <w:tr>
        <w:tc>
          <w:tcPr>
            <w:tcBorders>
              <w:top w:val="none" w:color="FFFFFF" w:sz="0"/>
              <w:left w:val="single" w:color="0D3B66" w:sz="6" w:space="1"/>
              <w:bottom w:val="single" w:color="0D3B66" w:sz="6" w:space="1"/>
              <w:right w:val="single" w:color="0D3B66" w:sz="6" w:space="1"/>
            </w:tcBorders>
            <w:shd w:fill="E8F1FB" w:val="clear"/>
            <w:tcMar>
              <w:top w:type="dxa" w:w="100"/>
              <w:left w:type="dxa" w:w="180"/>
              <w:bottom w:type="dxa" w:w="100"/>
              <w:right w:type="dxa" w:w="180"/>
            </w:tcMar>
          </w:tcPr>
          <w:p>
            <w:pPr>
              <w:spacing w:after="30" w:before="30"/>
            </w:pPr>
            <w:r>
              <w:rPr>
                <w:rFonts w:ascii="Arial" w:cs="Arial" w:eastAsia="Arial" w:hAnsi="Arial"/>
                <w:color w:val="212121"/>
                <w:sz w:val="21"/>
                <w:szCs w:val="21"/>
              </w:rPr>
              <w:t xml:space="preserve">Commerce : la démarche Kaizen nourrit directement la compétence de conduite du changement client et la gestion de projet commercial.</w:t>
            </w:r>
          </w:p>
          <w:p>
            <w:pPr>
              <w:spacing w:after="30" w:before="30"/>
            </w:pPr>
            <w:r>
              <w:rPr>
                <w:rFonts w:ascii="Arial" w:cs="Arial" w:eastAsia="Arial" w:hAnsi="Arial"/>
                <w:color w:val="212121"/>
                <w:sz w:val="21"/>
                <w:szCs w:val="21"/>
              </w:rPr>
              <w:t xml:space="preserve">Chargé d'affaires : la posture d'animateur-diplomate est exactement celle du CA en interface client/production.</w:t>
            </w:r>
          </w:p>
          <w:p>
            <w:pPr>
              <w:spacing w:after="30" w:before="30"/>
            </w:pPr>
            <w:r>
              <w:rPr>
                <w:rFonts w:ascii="Arial" w:cs="Arial" w:eastAsia="Arial" w:hAnsi="Arial"/>
                <w:color w:val="212121"/>
                <w:sz w:val="21"/>
                <w:szCs w:val="21"/>
              </w:rPr>
              <w:t xml:space="preserve">Management : les leviers de motivation et de reconnaissance sont applicables immédiatement en management d'équipe.</w:t>
            </w:r>
          </w:p>
          <w:p>
            <w:pPr>
              <w:spacing w:after="30" w:before="30"/>
            </w:pPr>
            <w:r>
              <w:rPr>
                <w:rFonts w:ascii="Arial" w:cs="Arial" w:eastAsia="Arial" w:hAnsi="Arial"/>
                <w:color w:val="212121"/>
                <w:sz w:val="21"/>
                <w:szCs w:val="21"/>
              </w:rPr>
              <w:t xml:space="preserve">→ Encouragez les étudiants à conserver leur livrable pour leur portfolio ou rapport de stage.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center" w:pos="4500"/>
        <w:tab w:val="right" w:pos="9026"/>
      </w:tabs>
    </w:pPr>
    <w:r>
      <w:rPr>
        <w:rFonts w:ascii="Arial" w:cs="Arial" w:eastAsia="Arial" w:hAnsi="Arial"/>
        <w:color w:val="455A64"/>
        <w:sz w:val="16"/>
        <w:szCs w:val="16"/>
      </w:rPr>
      <w:t xml:space="preserve">Jeu du Kaizen – Usage pédagogique CFAI Centre</w:t>
    </w:r>
    <w:r>
      <w:rPr>
        <w:rFonts w:ascii="Arial" w:cs="Arial" w:eastAsia="Arial" w:hAnsi="Arial"/>
        <w:color w:val="455A64"/>
        <w:sz w:val="16"/>
        <w:szCs w:val="16"/>
      </w:rPr>
      <w:t xml:space="preserve">	•	</w:t>
    </w:r>
    <w:r>
      <w:rPr>
        <w:rFonts w:ascii="Arial" w:cs="Arial" w:eastAsia="Arial" w:hAnsi="Arial"/>
        <w:color w:val="455A64"/>
        <w:sz w:val="16"/>
        <w:szCs w:val="16"/>
      </w:rPr>
      <w:t xml:space="preserve">Page </w:t>
    </w:r>
    <w:r>
      <w:rPr>
        <w:rFonts w:ascii="Arial" w:cs="Arial" w:eastAsia="Arial" w:hAnsi="Arial"/>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spacing w:after="100"/>
    </w:pPr>
    <w:r>
      <w:rPr>
        <w:rFonts w:ascii="Arial" w:cs="Arial" w:eastAsia="Arial" w:hAnsi="Arial"/>
        <w:b/>
        <w:bCs/>
        <w:color w:val="0D3B66"/>
        <w:sz w:val="18"/>
        <w:szCs w:val="18"/>
      </w:rPr>
      <w:t xml:space="preserve">GUIDE ANIMATEUR – Jeu du Kaizen  |  MODULE 2  –  Public Bachelor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3B66"/>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E651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2026-05-10T04:29:43.148Z</dcterms:created>
  <dcterms:modified xsi:type="dcterms:W3CDTF">2026-05-10T04:29:43.148Z</dcterms:modified>
</cp:coreProperties>
</file>

<file path=docProps/custom.xml><?xml version="1.0" encoding="utf-8"?>
<Properties xmlns="http://schemas.openxmlformats.org/officeDocument/2006/custom-properties" xmlns:vt="http://schemas.openxmlformats.org/officeDocument/2006/docPropsVTypes"/>
</file>