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25A49" w14:textId="77777777" w:rsidR="00422E77" w:rsidRDefault="00F45FD7">
      <w:pPr>
        <w:spacing w:before="500" w:after="200"/>
        <w:jc w:val="center"/>
      </w:pPr>
      <w:r>
        <w:rPr>
          <w:noProof/>
        </w:rPr>
        <w:drawing>
          <wp:inline distT="0" distB="0" distL="0" distR="0" wp14:anchorId="2DB25CB8" wp14:editId="2DB25CB9">
            <wp:extent cx="904875" cy="96202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5A4A" w14:textId="77777777" w:rsidR="00422E77" w:rsidRDefault="00F45FD7">
      <w:pPr>
        <w:spacing w:after="60"/>
        <w:jc w:val="center"/>
      </w:pPr>
      <w:r>
        <w:rPr>
          <w:b/>
          <w:bCs/>
          <w:color w:val="1F3864"/>
        </w:rPr>
        <w:t>ENQUÊTE INDUSTRIELLE</w:t>
      </w:r>
    </w:p>
    <w:p w14:paraId="2DB25A4B" w14:textId="77777777" w:rsidR="00422E77" w:rsidRDefault="00F45FD7">
      <w:pPr>
        <w:spacing w:after="700"/>
        <w:jc w:val="center"/>
      </w:pPr>
      <w:r>
        <w:rPr>
          <w:color w:val="808080"/>
          <w:sz w:val="20"/>
          <w:szCs w:val="20"/>
        </w:rPr>
        <w:t>Affaire du lot L-1206</w:t>
      </w:r>
    </w:p>
    <w:p w14:paraId="2DB25A4C" w14:textId="77777777" w:rsidR="00422E77" w:rsidRDefault="00F45FD7">
      <w:pPr>
        <w:spacing w:after="100"/>
        <w:jc w:val="center"/>
      </w:pPr>
      <w:r>
        <w:rPr>
          <w:b/>
          <w:bCs/>
          <w:color w:val="1F3864"/>
          <w:sz w:val="54"/>
          <w:szCs w:val="54"/>
        </w:rPr>
        <w:t>Corps de vérin CV-84, CENTRE MÉCANO-SOUDURE</w:t>
      </w:r>
    </w:p>
    <w:p w14:paraId="2DB25A4D" w14:textId="77777777" w:rsidR="00422E77" w:rsidRDefault="00F45FD7">
      <w:pPr>
        <w:spacing w:after="400"/>
        <w:jc w:val="center"/>
      </w:pPr>
      <w:r>
        <w:rPr>
          <w:i/>
          <w:iCs/>
          <w:color w:val="2E5A9C"/>
          <w:sz w:val="26"/>
          <w:szCs w:val="26"/>
        </w:rPr>
        <w:t>Dossier de départ, un exemplaire par cellule</w:t>
      </w:r>
    </w:p>
    <w:p w14:paraId="2DB25A4E" w14:textId="77777777" w:rsidR="00422E77" w:rsidRDefault="00F45FD7">
      <w:pPr>
        <w:pBdr>
          <w:top w:val="single" w:sz="8" w:space="10" w:color="1F3864"/>
          <w:bottom w:val="single" w:sz="8" w:space="10" w:color="1F3864"/>
        </w:pBdr>
        <w:spacing w:before="200" w:after="500"/>
        <w:jc w:val="center"/>
      </w:pPr>
      <w:r>
        <w:rPr>
          <w:color w:val="404040"/>
          <w:sz w:val="24"/>
          <w:szCs w:val="24"/>
        </w:rPr>
        <w:t>Journée du 16 septembre 2026, groupe TI18 TPFP Bourges</w:t>
      </w:r>
    </w:p>
    <w:p>
      <w:pPr>
        <w:pStyle w:val="Titre1"/>
      </w:pPr>
      <w:r>
        <w:rPr>
          <w:b w:val="0"/>
          <w:i w:val="0"/>
        </w:rPr>
        <w:t>Votre mission</w:t>
      </w:r>
    </w:p>
    <w:p>
      <w:pPr>
        <w:spacing w:after="120"/>
      </w:pPr>
      <w:r>
        <w:rPr>
          <w:b w:val="0"/>
          <w:i w:val="0"/>
        </w:rPr>
        <w:t>Vous êtes la cellule de crise de CENTRE MÉCANO-SOUDURE. Votre client, un constructeur d'engins agricoles, a bloqué un lot et arrêté sa ligne de montage. Il attend une réponse sous quarante-huit heures.</w:t>
      </w:r>
    </w:p>
    <w:p>
      <w:pPr>
        <w:spacing w:after="120"/>
      </w:pPr>
      <w:r>
        <w:rPr>
          <w:b w:val="0"/>
          <w:i w:val="0"/>
        </w:rPr>
        <w:t>Vous devez répondre à trois questions, dans cet ordre :</w:t>
      </w:r>
    </w:p>
    <w:p>
      <w:pPr>
        <w:pStyle w:val="Paragraphedeliste"/>
        <w:spacing w:after="80"/>
        <w:numPr>
          <w:ilvl w:val="0"/>
          <w:numId w:val="2"/>
        </w:numPr>
      </w:pPr>
      <w:r>
        <w:t>Que s'est-il passé exactement ? Des faits, des dates, des mesures. Pas d'avis.</w:t>
      </w:r>
    </w:p>
    <w:p>
      <w:pPr>
        <w:pStyle w:val="Paragraphedeliste"/>
        <w:spacing w:after="80"/>
        <w:numPr>
          <w:ilvl w:val="0"/>
          <w:numId w:val="2"/>
        </w:numPr>
      </w:pPr>
      <w:r>
        <w:t>Pourquoi ? Une cause racine, une seule, sur laquelle on peut agir.</w:t>
      </w:r>
    </w:p>
    <w:p>
      <w:pPr>
        <w:pStyle w:val="Paragraphedeliste"/>
        <w:spacing w:after="80"/>
        <w:numPr>
          <w:ilvl w:val="0"/>
          <w:numId w:val="2"/>
        </w:numPr>
      </w:pPr>
      <w:r>
        <w:t>Que fait-on ? Une action immédiate, une action corrective, une action préventive, et le moyen de vérifier que ça a marché.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2E5A9C"/>
          <w:left w:val="single" w:sz="18" w:space="0" w:color="2E5A9C"/>
          <w:bottom w:val="single" w:sz="2" w:space="0" w:color="2E5A9C"/>
          <w:right w:val="single" w:sz="2" w:space="0" w:color="2E5A9C"/>
          <w:insideH w:val="none" w:sz="0" w:space="0" w:color="FFFFFF"/>
          <w:insideV w:val="none" w:sz="0" w:space="0" w:color="FFFFFF"/>
        </w:tblBorders>
      </w:tblPr>
      <w:tblGrid>
        <w:gridCol w:w="9706"/>
      </w:tblGrid>
      <w:tr>
        <w:tc>
          <w:tcPr>
            <w:tcW w:type="dxa" w:w="9706"/>
            <w:shd w:val="clear" w:color="auto" w:fill="EDF1F8"/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2E5A9C"/>
                <w:sz w:val="21"/>
              </w:rPr>
              <w:t>Comment obtenir des informations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Ce dossier contient quatre pièces. Elles ne suffisent pas.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Les autres existent : rapports de contrôle, certificats, relevés machine, cahier de maintenance, plannings. Le formateur les a.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 xml:space="preserve">Pour en obtenir une, remplissez une demande d'indice : ce que vous cherchez, et pourquoi. </w:t>
            </w:r>
            <w:r>
              <w:rPr>
                <w:b/>
                <w:sz w:val="21"/>
              </w:rPr>
              <w:t>Une hypothèse sans justification n'ouvre rien.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B45F06"/>
          <w:left w:val="single" w:sz="18" w:space="0" w:color="B45F06"/>
          <w:bottom w:val="single" w:sz="2" w:space="0" w:color="B45F06"/>
          <w:right w:val="single" w:sz="2" w:space="0" w:color="B45F06"/>
          <w:insideH w:val="none" w:sz="0" w:space="0" w:color="FFFFFF"/>
          <w:insideV w:val="none" w:sz="0" w:space="0" w:color="FFFFFF"/>
        </w:tblBorders>
      </w:tblPr>
      <w:tblGrid>
        <w:gridCol w:w="9706"/>
      </w:tblGrid>
      <w:tr>
        <w:tc>
          <w:tcPr>
            <w:tcW w:type="dxa" w:w="9706"/>
            <w:shd w:val="clear" w:color="auto" w:fill="FDF2E9"/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B45F06"/>
                <w:sz w:val="21"/>
              </w:rPr>
              <w:t>La règle du jeu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Vous ne cherchez pas un coupable. Vous cherchez ce qui a changé.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Un fait déjà vrai la semaine d'avant, quand tout allait bien, n'explique pas cette semaine.</w:t>
            </w:r>
          </w:p>
        </w:tc>
      </w:tr>
    </w:tbl>
    <w:p>
      <w:r>
        <w:br w:type="page"/>
      </w:r>
    </w:p>
    <w:p>
      <w:pPr>
        <w:pStyle w:val="Titre1"/>
      </w:pPr>
      <w:r>
        <w:rPr>
          <w:b w:val="0"/>
          <w:i w:val="0"/>
        </w:rPr>
        <w:t>Pièce 1. Réclamation client</w:t>
      </w:r>
    </w:p>
    <w:p>
      <w:pPr>
        <w:spacing w:after="120"/>
      </w:pPr>
      <w:r>
        <w:rPr>
          <w:b w:val="0"/>
          <w:i/>
        </w:rPr>
        <w:t>Référence RC-2026-118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928"/>
        <w:gridCol w:w="7143"/>
      </w:tblGrid>
      <w:tr>
        <w:trPr>
          <w:tblHeader w:val="true"/>
          <w:cantSplit/>
        </w:trPr>
        <w:tc>
          <w:tcPr>
            <w:tcW w:type="dxa" w:w="19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Émetteur</w:t>
            </w:r>
          </w:p>
        </w:tc>
        <w:tc>
          <w:tcPr>
            <w:tcW w:type="dxa" w:w="7143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AGRIMAT SA, service qualité fournisseurs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Destinataire</w:t>
            </w:r>
          </w:p>
        </w:tc>
        <w:tc>
          <w:tcPr>
            <w:tcW w:type="dxa" w:w="7143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CENTRE MÉCANO-SOUDURE, direction technique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Date</w:t>
            </w:r>
          </w:p>
        </w:tc>
        <w:tc>
          <w:tcPr>
            <w:tcW w:type="dxa" w:w="7143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vendredi 26 juin 2026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Objet</w:t>
            </w:r>
          </w:p>
        </w:tc>
        <w:tc>
          <w:tcPr>
            <w:tcW w:type="dxa" w:w="7143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Blocage du lot L-1206, corps de vérin CV-84, 10 pièces</w:t>
            </w:r>
          </w:p>
        </w:tc>
      </w:tr>
    </w:tbl>
    <w:p>
      <w:pPr>
        <w:spacing w:after="120"/>
      </w:pPr>
    </w:p>
    <w:p>
      <w:pPr>
        <w:pStyle w:val="Titre2"/>
      </w:pPr>
      <w:r>
        <w:rPr>
          <w:b w:val="0"/>
          <w:i w:val="0"/>
        </w:rPr>
        <w:t>Texte de la réclamation</w:t>
      </w:r>
    </w:p>
    <w:p>
      <w:pPr>
        <w:spacing w:after="80"/>
      </w:pPr>
      <w:r>
        <w:rPr>
          <w:b w:val="0"/>
          <w:i w:val="0"/>
        </w:rPr>
        <w:t>« Le lot L-1206 reçu le mercredi 24 juin 2026 a été soumis à l'épreuve hydrostatique réglementaire à 250 bar le jeudi 25 juin 2026. Quatre corps sur dix présentent des fuites. Les repères concernés sont les 7, 8, 9 et 10.</w:t>
      </w:r>
    </w:p>
    <w:p>
      <w:pPr>
        <w:spacing w:after="80"/>
      </w:pPr>
      <w:r>
        <w:rPr>
          <w:b w:val="0"/>
          <w:i w:val="0"/>
        </w:rPr>
        <w:t>« Le lot est bloqué en totalité. Notre ligne de montage est restée arrêtée six heures.</w:t>
      </w:r>
    </w:p>
    <w:p>
      <w:pPr>
        <w:spacing w:after="80"/>
      </w:pPr>
      <w:r>
        <w:rPr>
          <w:b w:val="0"/>
          <w:i w:val="0"/>
        </w:rPr>
        <w:t>« Nous exigeons sous quarante-huit heures : l'origine du défaut, la preuve que les six autres corps sont sains, et le plan d'action qui garantit la non-récurrence.</w:t>
      </w:r>
    </w:p>
    <w:p>
      <w:pPr>
        <w:spacing w:after="120"/>
      </w:pPr>
      <w:r>
        <w:rPr>
          <w:b w:val="0"/>
          <w:i w:val="0"/>
        </w:rPr>
        <w:t>« Nous vous rappelons que les six lots précédents ont été acceptés sans réserve. »</w:t>
      </w:r>
    </w:p>
    <w:p>
      <w:pPr>
        <w:pStyle w:val="Titre2"/>
      </w:pPr>
      <w:r>
        <w:rPr>
          <w:b w:val="0"/>
          <w:i w:val="0"/>
        </w:rPr>
        <w:t>Chiffrage du litige communiqué par le client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4309"/>
        <w:gridCol w:w="1247"/>
        <w:gridCol w:w="1701"/>
        <w:gridCol w:w="1814"/>
      </w:tblGrid>
      <w:tr>
        <w:trPr>
          <w:tblHeader w:val="true"/>
          <w:cantSplit/>
        </w:trPr>
        <w:tc>
          <w:tcPr>
            <w:tcW w:type="dxa" w:w="4309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Poste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Quantité</w:t>
            </w:r>
          </w:p>
        </w:tc>
        <w:tc>
          <w:tcPr>
            <w:tcW w:type="dxa" w:w="1701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Prix unitaire</w:t>
            </w:r>
          </w:p>
        </w:tc>
        <w:tc>
          <w:tcPr>
            <w:tcW w:type="dxa" w:w="1814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Montant</w:t>
            </w:r>
          </w:p>
        </w:tc>
      </w:tr>
      <w:tr>
        <w:trPr>
          <w:cantSplit/>
        </w:trPr>
        <w:tc>
          <w:tcPr>
            <w:tcW w:type="dxa" w:w="4309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4 corps de vérin rebutés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380,00 €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1 520,00 €</w:t>
            </w:r>
          </w:p>
        </w:tc>
      </w:tr>
      <w:tr>
        <w:trPr>
          <w:cantSplit/>
        </w:trPr>
        <w:tc>
          <w:tcPr>
            <w:tcW w:type="dxa" w:w="4309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2 fraises carbure monobloc Ø 16</w:t>
            </w:r>
          </w:p>
        </w:tc>
        <w:tc>
          <w:tcPr>
            <w:tcW w:type="dxa" w:w="1247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70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145,00 €</w:t>
            </w:r>
          </w:p>
        </w:tc>
        <w:tc>
          <w:tcPr>
            <w:tcW w:type="dxa" w:w="1814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290,00 €</w:t>
            </w:r>
          </w:p>
        </w:tc>
      </w:tr>
      <w:tr>
        <w:trPr>
          <w:cantSplit/>
        </w:trPr>
        <w:tc>
          <w:tcPr>
            <w:tcW w:type="dxa" w:w="4309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arrêt du centre CN, changement d'outil et contrôle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85,00 €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255,00 €</w:t>
            </w:r>
          </w:p>
        </w:tc>
      </w:tr>
      <w:tr>
        <w:trPr>
          <w:cantSplit/>
        </w:trPr>
        <w:tc>
          <w:tcPr>
            <w:tcW w:type="dxa" w:w="4309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arrêt de la ligne de montage chez le client</w:t>
            </w:r>
          </w:p>
        </w:tc>
        <w:tc>
          <w:tcPr>
            <w:tcW w:type="dxa" w:w="1247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70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420,00 €</w:t>
            </w:r>
          </w:p>
        </w:tc>
        <w:tc>
          <w:tcPr>
            <w:tcW w:type="dxa" w:w="1814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2 520,00 €</w:t>
            </w:r>
          </w:p>
        </w:tc>
      </w:tr>
      <w:tr>
        <w:trPr>
          <w:cantSplit/>
        </w:trPr>
        <w:tc>
          <w:tcPr>
            <w:tcW w:type="dxa" w:w="4309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transport retour et tri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340,00 €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340,00 €</w:t>
            </w:r>
          </w:p>
        </w:tc>
      </w:tr>
      <w:tr>
        <w:trPr>
          <w:cantSplit/>
        </w:trPr>
        <w:tc>
          <w:tcPr>
            <w:tcW w:type="dxa" w:w="4309"/>
            <w:shd w:val="clear" w:color="auto" w:fill="F5F5F5"/>
          </w:tcPr>
          <w:p>
            <w:pPr>
              <w:spacing w:after="4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247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5F5F5"/>
          </w:tcPr>
          <w:p>
            <w:pPr>
              <w:spacing w:after="40"/>
            </w:pPr>
            <w:r>
              <w:rPr>
                <w:b/>
                <w:sz w:val="20"/>
              </w:rPr>
              <w:t>4 925,00 €</w:t>
            </w:r>
          </w:p>
        </w:tc>
      </w:tr>
    </w:tbl>
    <w:p>
      <w:r>
        <w:br w:type="page"/>
      </w:r>
    </w:p>
    <w:p>
      <w:pPr>
        <w:pStyle w:val="Titre1"/>
      </w:pPr>
      <w:r>
        <w:rPr>
          <w:b w:val="0"/>
          <w:i w:val="0"/>
        </w:rPr>
        <w:t>Pièce 2. Extrait du contrat de fourniture</w:t>
      </w:r>
    </w:p>
    <w:p>
      <w:pPr>
        <w:spacing w:after="120"/>
      </w:pPr>
      <w:r>
        <w:rPr>
          <w:b w:val="0"/>
          <w:i/>
        </w:rPr>
        <w:t>Commande AGRIMAT n° 2026-0412, article 3, spécification matière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2E5A9C"/>
          <w:left w:val="single" w:sz="18" w:space="0" w:color="2E5A9C"/>
          <w:bottom w:val="single" w:sz="2" w:space="0" w:color="2E5A9C"/>
          <w:right w:val="single" w:sz="2" w:space="0" w:color="2E5A9C"/>
          <w:insideH w:val="none" w:sz="0" w:space="0" w:color="FFFFFF"/>
          <w:insideV w:val="none" w:sz="0" w:space="0" w:color="FFFFFF"/>
        </w:tblBorders>
      </w:tblPr>
      <w:tblGrid>
        <w:gridCol w:w="9706"/>
      </w:tblGrid>
      <w:tr>
        <w:tc>
          <w:tcPr>
            <w:tcW w:type="dxa" w:w="9706"/>
            <w:shd w:val="clear" w:color="auto" w:fill="EDF1F8"/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2E5A9C"/>
                <w:sz w:val="21"/>
              </w:rPr>
              <w:t>Ce que le client a commandé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Corps de vérin CV-84, mécano-soudé, tôle épaisseur 8 mm.</w:t>
            </w:r>
          </w:p>
          <w:p>
            <w:pPr>
              <w:spacing w:after="40"/>
            </w:pPr>
            <w:r>
              <w:rPr>
                <w:b/>
                <w:sz w:val="21"/>
              </w:rPr>
              <w:t xml:space="preserve">Nuance imposée : acier S355J2. </w:t>
            </w:r>
            <w:r>
              <w:rPr>
                <w:b w:val="0"/>
                <w:sz w:val="21"/>
              </w:rPr>
              <w:t>Toute substitution doit faire l'objet d'une demande de dérogation écrite.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Épreuve hydrostatique à 250 bar à la charge du client, à réception.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Traçabilité coulée exigée : le numéro de coulée doit figurer sur la fiche suiveuse de chaque corps.</w:t>
            </w:r>
          </w:p>
        </w:tc>
      </w:tr>
    </w:tbl>
    <w:p>
      <w:pPr>
        <w:spacing w:after="120"/>
      </w:pPr>
    </w:p>
    <w:p>
      <w:pPr>
        <w:pStyle w:val="Titre1"/>
      </w:pPr>
      <w:r>
        <w:rPr>
          <w:b w:val="0"/>
          <w:i w:val="0"/>
        </w:rPr>
        <w:t>Pièce 3. Gamme de fabrication du corps CV-84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907"/>
        <w:gridCol w:w="3742"/>
        <w:gridCol w:w="2268"/>
        <w:gridCol w:w="2154"/>
      </w:tblGrid>
      <w:tr>
        <w:trPr>
          <w:tblHeader w:val="true"/>
          <w:cantSplit/>
        </w:trPr>
        <w:tc>
          <w:tcPr>
            <w:tcW w:type="dxa" w:w="907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742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Poste</w:t>
            </w:r>
          </w:p>
        </w:tc>
        <w:tc>
          <w:tcPr>
            <w:tcW w:type="dxa" w:w="2154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Contrôle prévu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742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Débit des flans, cisaille guillotine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Débit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Cotes au mètre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3742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Roulage de la virole</w:t>
            </w:r>
          </w:p>
        </w:tc>
        <w:tc>
          <w:tcPr>
            <w:tcW w:type="dxa" w:w="226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Rouleuse à 3 cylindres</w:t>
            </w:r>
          </w:p>
        </w:tc>
        <w:tc>
          <w:tcPr>
            <w:tcW w:type="dxa" w:w="2154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Gabarit de rondeur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3742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Chanfrein en V à 30° sur le joint longitudinal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Meuleuse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Visuel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40</w:t>
            </w:r>
          </w:p>
        </w:tc>
        <w:tc>
          <w:tcPr>
            <w:tcW w:type="dxa" w:w="3742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Soudage MAG 135 du joint longitudinal, 2 passes</w:t>
            </w:r>
          </w:p>
        </w:tc>
        <w:tc>
          <w:tcPr>
            <w:tcW w:type="dxa" w:w="226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Poste MAG n° 3</w:t>
            </w:r>
          </w:p>
        </w:tc>
        <w:tc>
          <w:tcPr>
            <w:tcW w:type="dxa" w:w="2154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Visuel du cordon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50</w:t>
            </w:r>
          </w:p>
        </w:tc>
        <w:tc>
          <w:tcPr>
            <w:tcW w:type="dxa" w:w="3742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Soudage MAG 135 des deux fonds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Poste MAG n° 3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Visuel du cordon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60</w:t>
            </w:r>
          </w:p>
        </w:tc>
        <w:tc>
          <w:tcPr>
            <w:tcW w:type="dxa" w:w="3742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Dressage des portées d'étanchéité, perçage des brides</w:t>
            </w:r>
          </w:p>
        </w:tc>
        <w:tc>
          <w:tcPr>
            <w:tcW w:type="dxa" w:w="226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Centre CN n° 2</w:t>
            </w:r>
          </w:p>
        </w:tc>
        <w:tc>
          <w:tcPr>
            <w:tcW w:type="dxa" w:w="2154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Contrôle dimensionnel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70</w:t>
            </w:r>
          </w:p>
        </w:tc>
        <w:tc>
          <w:tcPr>
            <w:tcW w:type="dxa" w:w="3742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Ébavurage, marquage du repère, expédition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Finition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Visuel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B45F06"/>
          <w:left w:val="single" w:sz="18" w:space="0" w:color="B45F06"/>
          <w:bottom w:val="single" w:sz="2" w:space="0" w:color="B45F06"/>
          <w:right w:val="single" w:sz="2" w:space="0" w:color="B45F06"/>
          <w:insideH w:val="none" w:sz="0" w:space="0" w:color="FFFFFF"/>
          <w:insideV w:val="none" w:sz="0" w:space="0" w:color="FFFFFF"/>
        </w:tblBorders>
      </w:tblPr>
      <w:tblGrid>
        <w:gridCol w:w="9706"/>
      </w:tblGrid>
      <w:tr>
        <w:tc>
          <w:tcPr>
            <w:tcW w:type="dxa" w:w="9706"/>
            <w:shd w:val="clear" w:color="auto" w:fill="FDF2E9"/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B45F06"/>
                <w:sz w:val="21"/>
              </w:rPr>
              <w:t>Deux remarques portées sur la gamme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Aucune épreuve hydrostatique n'est prévue chez CENTRE MÉCANO-SOUDURE. Le contrôle après soudage est visuel. L'épreuve est faite par le client à réception.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Aucun préchauffage n'est prévu à la phase 40 ni à la phase 50.</w:t>
            </w:r>
          </w:p>
        </w:tc>
      </w:tr>
    </w:tbl>
    <w:p>
      <w:r>
        <w:br w:type="page"/>
      </w:r>
    </w:p>
    <w:p>
      <w:pPr>
        <w:pStyle w:val="Titre1"/>
      </w:pPr>
      <w:r>
        <w:rPr>
          <w:b w:val="0"/>
          <w:i w:val="0"/>
        </w:rPr>
        <w:t>Pièce 4. Chronologie des faits</w:t>
      </w:r>
    </w:p>
    <w:p>
      <w:pPr>
        <w:spacing w:after="120"/>
      </w:pPr>
      <w:r>
        <w:rPr>
          <w:b w:val="0"/>
          <w:i/>
        </w:rPr>
        <w:t>Relevé établi par le responsable qualité de CENTRE MÉCANO-SOUDURE. Faits datés, sans interprétation.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381"/>
        <w:gridCol w:w="6690"/>
      </w:tblGrid>
      <w:tr>
        <w:trPr>
          <w:tblHeader w:val="true"/>
          <w:cantSplit/>
        </w:trPr>
        <w:tc>
          <w:tcPr>
            <w:tcW w:type="dxa" w:w="2381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6690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Fait constaté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lundi 11 mai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Réception de 18 tôles épaisseur 8 mm, bon de livraison n° 7615.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lundi 18 mai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Début de fabrication du lot L-1205, 10 corps de vérin.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vendredi 22 mai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Expédition du lot L-1205.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mardi 26 mai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Épreuve hydrostatique du lot L-1205 chez le client : 10 corps sur 10 conformes.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lundi 8 juin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Choc signalé par l'opérateur sur le centre CN n° 2, en dégagement rapide.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mardi 9 juin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Contrôle de la broche du centre CN n° 2. Jeu axial relevé : 0,07 mm. Machine remise en service.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mercredi 10 juin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Usinage d'un lot de 40 brides sur le centre CN n° 2. Aucun incident, aucune usure anormale.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lundi 15 juin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Réception de 24 tôles épaisseur 8 mm, bon de livraison n° 8842. Palette rangée à l'emplacement B12.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mardi 16 juin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Débit et roulage des 10 viroles du lot L-1206. Le magasin sort d'abord le reliquat de l'emplacement B12, puis entame la palette reçue la veille.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jeudi 18 juin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Soudage des repères 1 à 5, poste MAG n° 3.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vendredi 19 juin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Soudage des repères 6 à 10, poste MAG n° 3. Contrôle visuel des 10 cordons en fin de poste : conforme.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lundi 22 juin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Usinage du lot L-1206 sur le centre CN n° 2. Casse d'une fraise carbure à 09h40, seconde casse à 14h15.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mardi 23 juin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Reprise de l'usinage avec outil neuf. Contrôle dimensionnel : conforme.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mercredi 24 juin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Expédition des 10 corps.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jeudi 25 juin 2026</w:t>
            </w:r>
          </w:p>
        </w:tc>
        <w:tc>
          <w:tcPr>
            <w:tcW w:type="dxa" w:w="669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Épreuve hydrostatique chez le client. Quatre corps fuient.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vendredi 26 juin 2026</w:t>
            </w:r>
          </w:p>
        </w:tc>
        <w:tc>
          <w:tcPr>
            <w:tcW w:type="dxa" w:w="669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Réclamation RC-2026-118. Blocage du lot, arrêt de la ligne de montage.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38761D"/>
          <w:left w:val="single" w:sz="18" w:space="0" w:color="38761D"/>
          <w:bottom w:val="single" w:sz="2" w:space="0" w:color="38761D"/>
          <w:right w:val="single" w:sz="2" w:space="0" w:color="38761D"/>
          <w:insideH w:val="none" w:sz="0" w:space="0" w:color="FFFFFF"/>
          <w:insideV w:val="none" w:sz="0" w:space="0" w:color="FFFFFF"/>
        </w:tblBorders>
      </w:tblPr>
      <w:tblGrid>
        <w:gridCol w:w="9706"/>
      </w:tblGrid>
      <w:tr>
        <w:tc>
          <w:tcPr>
            <w:tcW w:type="dxa" w:w="9706"/>
            <w:shd w:val="clear" w:color="auto" w:fill="EAF3EA"/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38761D"/>
                <w:sz w:val="21"/>
              </w:rPr>
              <w:t>Ce que cette pièce ne dit pas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Elle ne dit pas quels repères ont fui. C'est dans la réclamation.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Elle ne dit pas sur quels repères les fraises ont cassé.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Elle ne dit pas d'où venait chaque tôle.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Si l'une de ces informations vous manque, demandez-la.</w:t>
            </w:r>
          </w:p>
        </w:tc>
      </w:tr>
    </w:tbl>
    <w:p>
      <w:r>
        <w:br w:type="page"/>
      </w:r>
    </w:p>
    <w:p>
      <w:pPr>
        <w:pStyle w:val="Titre1"/>
      </w:pPr>
      <w:r>
        <w:rPr>
          <w:b w:val="0"/>
          <w:i w:val="0"/>
        </w:rPr>
        <w:t>Demande d'indice</w:t>
      </w:r>
    </w:p>
    <w:p>
      <w:pPr>
        <w:spacing w:after="120"/>
      </w:pPr>
      <w:r>
        <w:rPr>
          <w:b w:val="0"/>
          <w:i w:val="0"/>
        </w:rPr>
        <w:t>Une demande par pièce souhaitée. À remettre au formateur, qui répond ou refuse.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361"/>
        <w:gridCol w:w="1020"/>
        <w:gridCol w:w="3061"/>
        <w:gridCol w:w="3628"/>
      </w:tblGrid>
      <w:tr>
        <w:trPr>
          <w:tblHeader w:val="true"/>
          <w:cantSplit/>
        </w:trPr>
        <w:tc>
          <w:tcPr>
            <w:tcW w:type="dxa" w:w="1361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Cellule</w:t>
            </w:r>
          </w:p>
        </w:tc>
        <w:tc>
          <w:tcPr>
            <w:tcW w:type="dxa" w:w="1020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Heure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Ce que nous cherchons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Pourquoi : notre hypothèse</w:t>
            </w:r>
          </w:p>
        </w:tc>
      </w:tr>
      <w:tr>
        <w:trPr>
          <w:cantSplit/>
          <w:trHeight w:val="1190" w:hRule="atLeast"/>
        </w:trPr>
        <w:tc>
          <w:tcPr>
            <w:tcW w:type="dxa" w:w="13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0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6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  <w:trHeight w:val="1190" w:hRule="atLeast"/>
        </w:trPr>
        <w:tc>
          <w:tcPr>
            <w:tcW w:type="dxa" w:w="136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2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06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6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  <w:trHeight w:val="1190" w:hRule="atLeast"/>
        </w:trPr>
        <w:tc>
          <w:tcPr>
            <w:tcW w:type="dxa" w:w="13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0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6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  <w:trHeight w:val="1190" w:hRule="atLeast"/>
        </w:trPr>
        <w:tc>
          <w:tcPr>
            <w:tcW w:type="dxa" w:w="136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2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06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6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  <w:trHeight w:val="1190" w:hRule="atLeast"/>
        </w:trPr>
        <w:tc>
          <w:tcPr>
            <w:tcW w:type="dxa" w:w="13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0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6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  <w:trHeight w:val="1190" w:hRule="atLeast"/>
        </w:trPr>
        <w:tc>
          <w:tcPr>
            <w:tcW w:type="dxa" w:w="136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20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061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6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  <w:trHeight w:val="1190" w:hRule="atLeast"/>
        </w:trPr>
        <w:tc>
          <w:tcPr>
            <w:tcW w:type="dxa" w:w="13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061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36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120"/>
      </w:pPr>
    </w:p>
    <w:p>
      <w:pPr>
        <w:pStyle w:val="Titre2"/>
      </w:pPr>
      <w:r>
        <w:rPr>
          <w:b w:val="0"/>
          <w:i w:val="0"/>
        </w:rPr>
        <w:t>Notes de la cellule</w:t>
      </w:r>
    </w:p>
    <w:p>
      <w:pPr>
        <w:spacing w:after="80"/>
      </w:pPr>
      <w:r>
        <w:rPr>
          <w:b w:val="0"/>
          <w:i w:val="0"/>
        </w:rPr>
        <w:t>Ce qu'on a écarté, et sur quel fait on l'a écarté.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right w:val="none" w:sz="0" w:space="0" w:color="FFFFFF"/>
          <w:insideV w:val="none" w:sz="0" w:space="0" w:color="FFFFFF"/>
          <w:bottom w:val="single" w:sz="4" w:space="0" w:color="BFBFBF"/>
          <w:insideH w:val="single" w:sz="4" w:space="0" w:color="BFBFBF"/>
        </w:tblBorders>
        <w:tblLayout w:type="fixed"/>
      </w:tblPr>
      <w:tblGrid>
        <w:gridCol w:w="9706"/>
      </w:tblGrid>
      <w:tr>
        <w:trPr>
          <w:trHeight w:val="453" w:hRule="atLeast"/>
        </w:trPr>
        <w:tc>
          <w:tcPr>
            <w:tcW w:type="dxa" w:w="9071"/>
          </w:tcPr>
          <w:p/>
        </w:tc>
      </w:tr>
      <w:tr>
        <w:trPr>
          <w:trHeight w:val="453" w:hRule="atLeast"/>
        </w:trPr>
        <w:tc>
          <w:tcPr>
            <w:tcW w:type="dxa" w:w="9071"/>
          </w:tcPr>
          <w:p/>
        </w:tc>
      </w:tr>
      <w:tr>
        <w:trPr>
          <w:trHeight w:val="453" w:hRule="atLeast"/>
        </w:trPr>
        <w:tc>
          <w:tcPr>
            <w:tcW w:type="dxa" w:w="9071"/>
          </w:tcPr>
          <w:p/>
        </w:tc>
      </w:tr>
      <w:tr>
        <w:trPr>
          <w:trHeight w:val="453" w:hRule="atLeast"/>
        </w:trPr>
        <w:tc>
          <w:tcPr>
            <w:tcW w:type="dxa" w:w="9071"/>
          </w:tcPr>
          <w:p/>
        </w:tc>
      </w:tr>
      <w:tr>
        <w:trPr>
          <w:trHeight w:val="453" w:hRule="atLeast"/>
        </w:trPr>
        <w:tc>
          <w:tcPr>
            <w:tcW w:type="dxa" w:w="9071"/>
          </w:tcPr>
          <w:p/>
        </w:tc>
      </w:tr>
    </w:tbl>
    <w:p>
      <w:r>
        <w:br w:type="page"/>
      </w:r>
    </w:p>
    <w:p>
      <w:pPr>
        <w:pStyle w:val="Titre1"/>
      </w:pPr>
      <w:r>
        <w:rPr>
          <w:b w:val="0"/>
          <w:i w:val="0"/>
        </w:rPr>
        <w:t>Vocabulaire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928"/>
        <w:gridCol w:w="7143"/>
      </w:tblGrid>
      <w:tr>
        <w:trPr>
          <w:tblHeader w:val="true"/>
          <w:cantSplit/>
        </w:trPr>
        <w:tc>
          <w:tcPr>
            <w:tcW w:type="dxa" w:w="1928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Mot</w:t>
            </w:r>
          </w:p>
        </w:tc>
        <w:tc>
          <w:tcPr>
            <w:tcW w:type="dxa" w:w="7143"/>
            <w:shd w:val="clear" w:color="auto" w:fill="1F3864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Ce que ça veut dire ici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Coulée</w:t>
            </w:r>
          </w:p>
        </w:tc>
        <w:tc>
          <w:tcPr>
            <w:tcW w:type="dxa" w:w="7143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Une fournée d'acier élaborée en une seule fois à l'aciérie. Toutes les tôles issues d'une même coulée ont la même composition chimique. Le numéro de coulée est le seul moyen de savoir d'où vient une tôle.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Certificat matière 3.1</w:t>
            </w:r>
          </w:p>
        </w:tc>
        <w:tc>
          <w:tcPr>
            <w:tcW w:type="dxa" w:w="7143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Document du fournisseur qui donne l'analyse chimique réelle de la coulée, contrôlée par lui. Il accompagne la livraison.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Épreuve hydrostatique</w:t>
            </w:r>
          </w:p>
        </w:tc>
        <w:tc>
          <w:tcPr>
            <w:tcW w:type="dxa" w:w="7143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On remplit la pièce d'eau et on monte en pression. Si ça fuit, il y a un passage traversant. Ici, 250 bar.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ZAT</w:t>
            </w:r>
          </w:p>
        </w:tc>
        <w:tc>
          <w:tcPr>
            <w:tcW w:type="dxa" w:w="7143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Zone affectée thermiquement. La bande de métal de base, à côté du cordon, qui a été chauffée par le soudage sans fondre. Sa structure a changé.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Ressuage</w:t>
            </w:r>
          </w:p>
        </w:tc>
        <w:tc>
          <w:tcPr>
            <w:tcW w:type="dxa" w:w="7143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Contrôle non destructif. On applique un pénétrant coloré, on essuie, on révèle. Les fissures ressortent en trait, les porosités en point.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Porosité</w:t>
            </w:r>
          </w:p>
        </w:tc>
        <w:tc>
          <w:tcPr>
            <w:tcW w:type="dxa" w:w="7143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Bulle de gaz emprisonnée dans le cordon. C'est un vide.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Dureté HV</w:t>
            </w:r>
          </w:p>
        </w:tc>
        <w:tc>
          <w:tcPr>
            <w:tcW w:type="dxa" w:w="7143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Dureté Vickers. On enfonce une pointe de diamant et on mesure l'empreinte. Plus le chiffre est grand, plus le métal est dur, et plus il est fragile.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DMOS</w:t>
            </w:r>
          </w:p>
        </w:tc>
        <w:tc>
          <w:tcPr>
            <w:tcW w:type="dxa" w:w="7143"/>
            <w:shd w:val="clear" w:color="auto" w:fill="F5F5F5"/>
          </w:tcPr>
          <w:p>
            <w:pPr>
              <w:spacing w:after="40"/>
            </w:pPr>
            <w:r>
              <w:rPr>
                <w:b w:val="0"/>
                <w:sz w:val="20"/>
              </w:rPr>
              <w:t>Descriptif de mode opératoire de soudage. La fiche qui dit comment souder : procédé, intensité, gaz, préchauffage.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Carbone équivalent</w:t>
            </w:r>
          </w:p>
        </w:tc>
        <w:tc>
          <w:tcPr>
            <w:tcW w:type="dxa" w:w="7143"/>
            <w:shd w:val="clear" w:color="auto" w:fill="FFFFFF"/>
          </w:tcPr>
          <w:p>
            <w:pPr>
              <w:spacing w:after="40"/>
            </w:pPr>
            <w:r>
              <w:rPr>
                <w:b w:val="0"/>
                <w:sz w:val="20"/>
              </w:rPr>
              <w:t>Un nombre calculé à partir de l'analyse chimique. Il résume à quel point un acier est difficile à souder. Plus il est haut, plus il faut de précautions.</w:t>
            </w:r>
          </w:p>
        </w:tc>
      </w:tr>
    </w:tbl>
    <w:p>
      <w:pPr>
        <w:spacing w:after="120"/>
      </w:pPr>
    </w:p>
    <w:sectPr w:rsidR="00422E77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000" w:right="1100" w:bottom="1000" w:left="1100" w:header="6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CE8B6" w14:textId="77777777" w:rsidR="00F45FD7" w:rsidRDefault="00F45FD7">
      <w:pPr>
        <w:spacing w:line="240" w:lineRule="auto"/>
      </w:pPr>
      <w:r>
        <w:separator/>
      </w:r>
    </w:p>
  </w:endnote>
  <w:endnote w:type="continuationSeparator" w:id="0">
    <w:p w14:paraId="090B6DE0" w14:textId="77777777" w:rsidR="00F45FD7" w:rsidRDefault="00F45F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25CBB" w14:textId="7364B143" w:rsidR="00422E77" w:rsidRDefault="00F45FD7">
    <w:pPr>
      <w:tabs>
        <w:tab w:val="right" w:pos="9000"/>
      </w:tabs>
    </w:pPr>
    <w:r>
      <w:rPr>
        <w:color w:val="808080"/>
        <w:sz w:val="16"/>
        <w:szCs w:val="16"/>
      </w:rPr>
      <w:t>S. Jaubert</w:t>
    </w:r>
    <w:r>
      <w:rPr>
        <w:sz w:val="16"/>
        <w:szCs w:val="16"/>
      </w:rPr>
      <w:tab/>
    </w: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565AAA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565AAA">
      <w:rPr>
        <w:noProof/>
        <w:color w:val="808080"/>
        <w:sz w:val="16"/>
        <w:szCs w:val="16"/>
      </w:rPr>
      <w:t>3</w:t>
    </w:r>
    <w:r>
      <w:rPr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25CBD" w14:textId="77777777" w:rsidR="00422E77" w:rsidRDefault="00422E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3360E" w14:textId="77777777" w:rsidR="00F45FD7" w:rsidRDefault="00F45FD7">
      <w:pPr>
        <w:spacing w:line="240" w:lineRule="auto"/>
      </w:pPr>
      <w:r>
        <w:separator/>
      </w:r>
    </w:p>
  </w:footnote>
  <w:footnote w:type="continuationSeparator" w:id="0">
    <w:p w14:paraId="22A0ACE7" w14:textId="77777777" w:rsidR="00F45FD7" w:rsidRDefault="00F45F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25CBA" w14:textId="77777777" w:rsidR="00422E77" w:rsidRDefault="00F45FD7">
    <w:pPr>
      <w:pBdr>
        <w:bottom w:val="single" w:sz="4" w:space="4" w:color="BFBFBF"/>
      </w:pBdr>
      <w:spacing w:after="60"/>
      <w:jc w:val="right"/>
    </w:pPr>
    <w:r>
      <w:rPr>
        <w:color w:val="808080"/>
        <w:sz w:val="16"/>
        <w:szCs w:val="16"/>
      </w:rPr>
      <w:t>Enquête industrielle, affaire du lot L-1206, dossier de départ</w:t>
    </w:r>
    <w:proofErr w:type="gramStart"/>
    <w:proofErr w:type="gramEnd"/>
    <w:proofErr w:type="gramStart"/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25CBC" w14:textId="77777777" w:rsidR="00422E77" w:rsidRDefault="00422E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3D94"/>
    <w:multiLevelType w:val="hybridMultilevel"/>
    <w:tmpl w:val="3E4EBDDC"/>
    <w:lvl w:ilvl="0" w:tplc="2416D3EE">
      <w:start w:val="1"/>
      <w:numFmt w:val="bullet"/>
      <w:lvlText w:val="•"/>
      <w:lvlJc w:val="left"/>
      <w:pPr>
        <w:ind w:left="431" w:hanging="288"/>
      </w:pPr>
    </w:lvl>
    <w:lvl w:ilvl="1" w:tplc="CAFEE90A">
      <w:start w:val="1"/>
      <w:numFmt w:val="bullet"/>
      <w:lvlText w:val="◦"/>
      <w:lvlJc w:val="left"/>
      <w:pPr>
        <w:ind w:left="863" w:hanging="288"/>
      </w:pPr>
    </w:lvl>
    <w:lvl w:ilvl="2" w:tplc="DE7E2456">
      <w:numFmt w:val="decimal"/>
      <w:lvlText w:val=""/>
      <w:lvlJc w:val="left"/>
    </w:lvl>
    <w:lvl w:ilvl="3" w:tplc="688EAD72">
      <w:numFmt w:val="decimal"/>
      <w:lvlText w:val=""/>
      <w:lvlJc w:val="left"/>
    </w:lvl>
    <w:lvl w:ilvl="4" w:tplc="6E2E41AC">
      <w:numFmt w:val="decimal"/>
      <w:lvlText w:val=""/>
      <w:lvlJc w:val="left"/>
    </w:lvl>
    <w:lvl w:ilvl="5" w:tplc="DB166884">
      <w:numFmt w:val="decimal"/>
      <w:lvlText w:val=""/>
      <w:lvlJc w:val="left"/>
    </w:lvl>
    <w:lvl w:ilvl="6" w:tplc="3192054C">
      <w:numFmt w:val="decimal"/>
      <w:lvlText w:val=""/>
      <w:lvlJc w:val="left"/>
    </w:lvl>
    <w:lvl w:ilvl="7" w:tplc="A1E66D90">
      <w:numFmt w:val="decimal"/>
      <w:lvlText w:val=""/>
      <w:lvlJc w:val="left"/>
    </w:lvl>
    <w:lvl w:ilvl="8" w:tplc="D0DE662A">
      <w:numFmt w:val="decimal"/>
      <w:lvlText w:val=""/>
      <w:lvlJc w:val="left"/>
    </w:lvl>
  </w:abstractNum>
  <w:abstractNum w:abstractNumId="1" w15:restartNumberingAfterBreak="0">
    <w:nsid w:val="2E3E2E8E"/>
    <w:multiLevelType w:val="hybridMultilevel"/>
    <w:tmpl w:val="908CDCAA"/>
    <w:lvl w:ilvl="0" w:tplc="1F009A10">
      <w:start w:val="1"/>
      <w:numFmt w:val="bullet"/>
      <w:lvlText w:val="●"/>
      <w:lvlJc w:val="left"/>
      <w:pPr>
        <w:ind w:left="720" w:hanging="360"/>
      </w:pPr>
    </w:lvl>
    <w:lvl w:ilvl="1" w:tplc="FC584AA2">
      <w:start w:val="1"/>
      <w:numFmt w:val="bullet"/>
      <w:lvlText w:val="○"/>
      <w:lvlJc w:val="left"/>
      <w:pPr>
        <w:ind w:left="1440" w:hanging="360"/>
      </w:pPr>
    </w:lvl>
    <w:lvl w:ilvl="2" w:tplc="761A4326">
      <w:start w:val="1"/>
      <w:numFmt w:val="bullet"/>
      <w:lvlText w:val="■"/>
      <w:lvlJc w:val="left"/>
      <w:pPr>
        <w:ind w:left="2160" w:hanging="360"/>
      </w:pPr>
    </w:lvl>
    <w:lvl w:ilvl="3" w:tplc="91FCF4AA">
      <w:start w:val="1"/>
      <w:numFmt w:val="bullet"/>
      <w:lvlText w:val="●"/>
      <w:lvlJc w:val="left"/>
      <w:pPr>
        <w:ind w:left="2880" w:hanging="360"/>
      </w:pPr>
    </w:lvl>
    <w:lvl w:ilvl="4" w:tplc="D068DA36">
      <w:start w:val="1"/>
      <w:numFmt w:val="bullet"/>
      <w:lvlText w:val="○"/>
      <w:lvlJc w:val="left"/>
      <w:pPr>
        <w:ind w:left="3600" w:hanging="360"/>
      </w:pPr>
    </w:lvl>
    <w:lvl w:ilvl="5" w:tplc="0270E520">
      <w:start w:val="1"/>
      <w:numFmt w:val="bullet"/>
      <w:lvlText w:val="■"/>
      <w:lvlJc w:val="left"/>
      <w:pPr>
        <w:ind w:left="4320" w:hanging="360"/>
      </w:pPr>
    </w:lvl>
    <w:lvl w:ilvl="6" w:tplc="89F0226E">
      <w:start w:val="1"/>
      <w:numFmt w:val="bullet"/>
      <w:lvlText w:val="●"/>
      <w:lvlJc w:val="left"/>
      <w:pPr>
        <w:ind w:left="5040" w:hanging="360"/>
      </w:pPr>
    </w:lvl>
    <w:lvl w:ilvl="7" w:tplc="5232C74C">
      <w:start w:val="1"/>
      <w:numFmt w:val="bullet"/>
      <w:lvlText w:val="●"/>
      <w:lvlJc w:val="left"/>
      <w:pPr>
        <w:ind w:left="5760" w:hanging="360"/>
      </w:pPr>
    </w:lvl>
    <w:lvl w:ilvl="8" w:tplc="24C4E80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E676D1"/>
    <w:multiLevelType w:val="hybridMultilevel"/>
    <w:tmpl w:val="E65E36DE"/>
    <w:lvl w:ilvl="0" w:tplc="2ABE4070">
      <w:start w:val="1"/>
      <w:numFmt w:val="decimal"/>
      <w:lvlText w:val="%1."/>
      <w:lvlJc w:val="left"/>
      <w:pPr>
        <w:ind w:left="504" w:hanging="360"/>
      </w:pPr>
    </w:lvl>
    <w:lvl w:ilvl="1" w:tplc="80DE69BE">
      <w:numFmt w:val="decimal"/>
      <w:lvlText w:val=""/>
      <w:lvlJc w:val="left"/>
    </w:lvl>
    <w:lvl w:ilvl="2" w:tplc="3F5864B8">
      <w:numFmt w:val="decimal"/>
      <w:lvlText w:val=""/>
      <w:lvlJc w:val="left"/>
    </w:lvl>
    <w:lvl w:ilvl="3" w:tplc="64602CEC">
      <w:numFmt w:val="decimal"/>
      <w:lvlText w:val=""/>
      <w:lvlJc w:val="left"/>
    </w:lvl>
    <w:lvl w:ilvl="4" w:tplc="C1A2EE06">
      <w:numFmt w:val="decimal"/>
      <w:lvlText w:val=""/>
      <w:lvlJc w:val="left"/>
    </w:lvl>
    <w:lvl w:ilvl="5" w:tplc="F070AFFC">
      <w:numFmt w:val="decimal"/>
      <w:lvlText w:val=""/>
      <w:lvlJc w:val="left"/>
    </w:lvl>
    <w:lvl w:ilvl="6" w:tplc="C70A8822">
      <w:numFmt w:val="decimal"/>
      <w:lvlText w:val=""/>
      <w:lvlJc w:val="left"/>
    </w:lvl>
    <w:lvl w:ilvl="7" w:tplc="14A8D886">
      <w:numFmt w:val="decimal"/>
      <w:lvlText w:val=""/>
      <w:lvlJc w:val="left"/>
    </w:lvl>
    <w:lvl w:ilvl="8" w:tplc="0BAE6396">
      <w:numFmt w:val="decimal"/>
      <w:lvlText w:val=""/>
      <w:lvlJc w:val="left"/>
    </w:lvl>
  </w:abstractNum>
  <w:num w:numId="1" w16cid:durableId="1104768614">
    <w:abstractNumId w:val="1"/>
    <w:lvlOverride w:ilvl="0">
      <w:startOverride w:val="1"/>
    </w:lvlOverride>
  </w:num>
  <w:num w:numId="2" w16cid:durableId="101191081">
    <w:abstractNumId w:val="0"/>
    <w:lvlOverride w:ilvl="0">
      <w:startOverride w:val="1"/>
    </w:lvlOverride>
  </w:num>
  <w:num w:numId="3" w16cid:durableId="764232799">
    <w:abstractNumId w:val="2"/>
    <w:lvlOverride w:ilvl="0">
      <w:startOverride w:val="1"/>
    </w:lvlOverride>
  </w:num>
  <w:num w:numId="4" w16cid:durableId="1642346418">
    <w:abstractNumId w:val="2"/>
    <w:lvlOverride w:ilvl="0">
      <w:startOverride w:val="1"/>
    </w:lvlOverride>
  </w:num>
  <w:num w:numId="5" w16cid:durableId="1134523284">
    <w:abstractNumId w:val="2"/>
    <w:lvlOverride w:ilvl="0">
      <w:startOverride w:val="1"/>
    </w:lvlOverride>
  </w:num>
  <w:num w:numId="6" w16cid:durableId="1800298100">
    <w:abstractNumId w:val="2"/>
    <w:lvlOverride w:ilvl="0">
      <w:startOverride w:val="1"/>
    </w:lvlOverride>
  </w:num>
  <w:num w:numId="7" w16cid:durableId="1474366866">
    <w:abstractNumId w:val="2"/>
    <w:lvlOverride w:ilvl="0">
      <w:startOverride w:val="1"/>
    </w:lvlOverride>
  </w:num>
  <w:num w:numId="8" w16cid:durableId="296881400">
    <w:abstractNumId w:val="2"/>
    <w:lvlOverride w:ilvl="0">
      <w:startOverride w:val="1"/>
    </w:lvlOverride>
  </w:num>
  <w:num w:numId="9" w16cid:durableId="7405930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2E77"/>
    <w:rsid w:val="00422E77"/>
    <w:rsid w:val="00565AAA"/>
    <w:rsid w:val="00AF448A"/>
    <w:rsid w:val="00F4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25A49"/>
  <w15:docId w15:val="{6A86EABF-E0EB-4365-A87E-B97824E2B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5015</Words>
  <Characters>27584</Characters>
  <Application>Microsoft Office Word</Application>
  <DocSecurity>0</DocSecurity>
  <Lines>229</Lines>
  <Paragraphs>65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Comprendre la variabilite - Module d'amorcage SPC</vt:lpstr>
    </vt:vector>
  </TitlesOfParts>
  <Company/>
  <LinksUpToDate>false</LinksUpToDate>
  <CharactersWithSpaces>32534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Corps de vérin CV-84, CENTRE MÉCANO-SOUDURE</dc:title>
  <dc:creator>S. Jaubert</dc:creator>
  <dc:description/>
  <cp:lastModifiedBy>Stéphane JAUBERT</cp:lastModifiedBy>
  <cp:revision>2</cp:revision>
  <dcterms:created xsi:type="dcterms:W3CDTF">2026-08-27T08:01:00Z</dcterms:created>
  <dcterms:modified xsi:type="dcterms:W3CDTF">2026-08-27T08:08:00Z</dcterms:modified>
</cp:coreProperties>
</file>