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745236" cy="795528"/>
            <wp:effectExtent b="0" l="0" r="0" t="0"/>
            <wp:docPr descr="Logo UIMM" title="" id="10" name="Picture"/>
            <a:graphic>
              <a:graphicData uri="http://schemas.openxmlformats.org/drawingml/2006/picture">
                <pic:pic>
                  <pic:nvPicPr>
                    <pic:cNvPr descr="logo_uimm_placehold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UIMM</w:t>
      </w:r>
    </w:p>
    <w:p>
      <w:pPr>
        <w:pStyle w:val="BodyText"/>
      </w:pPr>
      <w:r>
        <w:rPr>
          <w:b/>
          <w:bCs/>
        </w:rPr>
        <w:t xml:space="preserve">Pôle Formation UIMM - CVDL</w:t>
      </w:r>
    </w:p>
    <w:p>
      <w:r>
        <w:pict>
          <v:rect style="width:0;height:1.5pt" o:hralign="center" o:hrstd="t" o:hr="t"/>
        </w:pict>
      </w:r>
    </w:p>
    <w:bookmarkStart w:id="22" w:name="les-indicateurs-des-flux-de-production"/>
    <w:p>
      <w:pPr>
        <w:pStyle w:val="Heading1"/>
      </w:pPr>
      <w:r>
        <w:t xml:space="preserve">Les Indicateurs des Flux de Production</w:t>
      </w:r>
    </w:p>
    <w:bookmarkStart w:id="12" w:name="synthèse-pour-latelier-cocotte-lean"/>
    <w:p>
      <w:pPr>
        <w:pStyle w:val="Heading2"/>
      </w:pPr>
      <w:r>
        <w:t xml:space="preserve">Synthèse pour l’Atelier Cocotte LEAN</w:t>
      </w:r>
    </w:p>
    <w:p>
      <w:r>
        <w:pict>
          <v:rect style="width:0;height:1.5pt" o:hralign="center" o:hrstd="t" o:hr="t"/>
        </w:pict>
      </w:r>
    </w:p>
    <w:bookmarkEnd w:id="12"/>
    <w:bookmarkStart w:id="13" w:name="pourquoi-mesurer-le-flux"/>
    <w:p>
      <w:pPr>
        <w:pStyle w:val="Heading2"/>
      </w:pPr>
      <w:r>
        <w:t xml:space="preserve">1. Pourquoi mesurer le flux 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Rendre visible</w:t>
      </w:r>
      <w:r>
        <w:t xml:space="preserve"> </w:t>
      </w:r>
      <w:r>
        <w:t xml:space="preserve">la performance (Qualité, Délais, Productivité)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Identifier les gaspillages</w:t>
      </w:r>
      <w:r>
        <w:t xml:space="preserve"> </w:t>
      </w:r>
      <w:r>
        <w:t xml:space="preserve">(Muda) et les goulots d’étranglement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Fixer un cap</w:t>
      </w:r>
      <w:r>
        <w:t xml:space="preserve"> </w:t>
      </w:r>
      <w:r>
        <w:t xml:space="preserve">: mesurer permet de savoir d’où l’on part pour s’améliorer (Kaizen)</w:t>
      </w:r>
    </w:p>
    <w:p>
      <w:pPr>
        <w:pStyle w:val="Compact"/>
        <w:numPr>
          <w:ilvl w:val="0"/>
          <w:numId w:val="1001"/>
        </w:numPr>
      </w:pPr>
      <w:r>
        <w:t xml:space="preserve">Trois piliers interdépendants mesurés dans cet atelier :</w:t>
      </w:r>
      <w:r>
        <w:t xml:space="preserve"> </w:t>
      </w:r>
      <w:r>
        <w:rPr>
          <w:b/>
          <w:bCs/>
        </w:rPr>
        <w:t xml:space="preserve">WIP, Débit et Lead Time</w:t>
      </w:r>
    </w:p>
    <w:p>
      <w:r>
        <w:pict>
          <v:rect style="width:0;height:1.5pt" o:hralign="center" o:hrstd="t" o:hr="t"/>
        </w:pict>
      </w:r>
    </w:p>
    <w:bookmarkEnd w:id="13"/>
    <w:bookmarkStart w:id="14" w:name="le-taux-de-qualité"/>
    <w:p>
      <w:pPr>
        <w:pStyle w:val="Heading2"/>
      </w:pPr>
      <w:r>
        <w:t xml:space="preserve">2. Le Taux de Qualité</w:t>
      </w:r>
    </w:p>
    <w:p>
      <w:pPr>
        <w:pStyle w:val="FirstParagraph"/>
      </w:pPr>
      <w:r>
        <w:rPr>
          <w:b/>
          <w:bCs/>
        </w:rPr>
        <w:t xml:space="preserve">Principe : La conformité passe toujours avant la quantité.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Totale</w:t>
      </w:r>
      <w:r>
        <w:t xml:space="preserve"> </w:t>
      </w:r>
      <w:r>
        <w:t xml:space="preserve">= Nombre de cocottes terminées (bonnes + défectueuses)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Taux de Qualité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(Cocottes conformes / Cocottes terminées) × 100</w:t>
      </w:r>
      <w:r>
        <w:t xml:space="preserve">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Règle d’or</w:t>
      </w:r>
      <w:r>
        <w:t xml:space="preserve"> </w:t>
      </w:r>
      <w:r>
        <w:t xml:space="preserve">: Une cocotte présentant un défaut (symétrie, mobilité, propreté) n’est jamais recomptée en production bonne.</w:t>
      </w:r>
    </w:p>
    <w:p>
      <w:r>
        <w:pict>
          <v:rect style="width:0;height:1.5pt" o:hralign="center" o:hrstd="t" o:hr="t"/>
        </w:pict>
      </w:r>
    </w:p>
    <w:bookmarkEnd w:id="14"/>
    <w:bookmarkStart w:id="15" w:name="le-wip-work-in-progress-en-cours"/>
    <w:p>
      <w:pPr>
        <w:pStyle w:val="Heading2"/>
      </w:pPr>
      <w:r>
        <w:t xml:space="preserve">3. Le WIP (Work In Progress / En-cours)</w:t>
      </w:r>
    </w:p>
    <w:p>
      <w:pPr>
        <w:pStyle w:val="FirstParagraph"/>
      </w:pPr>
      <w:r>
        <w:rPr>
          <w:b/>
          <w:bCs/>
        </w:rPr>
        <w:t xml:space="preserve">Indicateur : Les en-cours de production.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Définition</w:t>
      </w:r>
      <w:r>
        <w:t xml:space="preserve"> </w:t>
      </w:r>
      <w:r>
        <w:t xml:space="preserve">: Nombre total de pièces en cours de fabrication à un instant précis.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Périmètre</w:t>
      </w:r>
      <w:r>
        <w:t xml:space="preserve"> </w:t>
      </w:r>
      <w:r>
        <w:t xml:space="preserve">: Toutes les cocottes ayant quitté le stock de matière première, mais qui n’ont pas encore passé le contrôle qualité (P5).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Constat</w:t>
      </w:r>
      <w:r>
        <w:t xml:space="preserve"> </w:t>
      </w:r>
      <w:r>
        <w:t xml:space="preserve">: Un WIP élevé masque les vrais problèmes, engendre du stress et allonge drastiquement les délais de livraison.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Solution</w:t>
      </w:r>
      <w:r>
        <w:t xml:space="preserve"> </w:t>
      </w:r>
      <w:r>
        <w:t xml:space="preserve">: Le Kanban limite mathématiquement le WIP (Round 2).</w:t>
      </w:r>
    </w:p>
    <w:p>
      <w:r>
        <w:pict>
          <v:rect style="width:0;height:1.5pt" o:hralign="center" o:hrstd="t" o:hr="t"/>
        </w:pict>
      </w:r>
    </w:p>
    <w:bookmarkEnd w:id="15"/>
    <w:bookmarkStart w:id="16" w:name="le-débit-throughput-et-le-goulot"/>
    <w:p>
      <w:pPr>
        <w:pStyle w:val="Heading2"/>
      </w:pPr>
      <w:r>
        <w:t xml:space="preserve">4. Le Débit (Throughput) et le Goulot</w:t>
      </w:r>
    </w:p>
    <w:p>
      <w:pPr>
        <w:pStyle w:val="FirstParagraph"/>
      </w:pPr>
      <w:r>
        <w:rPr>
          <w:b/>
          <w:bCs/>
        </w:rPr>
        <w:t xml:space="preserve">Indicateur : La vitesse de sortie du système.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Définition</w:t>
      </w:r>
      <w:r>
        <w:t xml:space="preserve"> </w:t>
      </w:r>
      <w:r>
        <w:t xml:space="preserve">: Le nombre de cocottes terminées par unité de temps.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Débit = Cocottes terminées / Durée (en minutes)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 Goulot</w:t>
      </w:r>
      <w:r>
        <w:t xml:space="preserve"> </w:t>
      </w:r>
      <w:r>
        <w:t xml:space="preserve">: Le débit global de toute la ligne est dicté par le poste le plus lent. Augmenter la capacité des autres postes ne sert à rien s’ils ne sont pas le goulot.</w:t>
      </w:r>
    </w:p>
    <w:p>
      <w:r>
        <w:pict>
          <v:rect style="width:0;height:1.5pt" o:hralign="center" o:hrstd="t" o:hr="t"/>
        </w:pict>
      </w:r>
    </w:p>
    <w:bookmarkEnd w:id="16"/>
    <w:bookmarkStart w:id="17" w:name="le-lead-time-temps-de-traversée"/>
    <w:p>
      <w:pPr>
        <w:pStyle w:val="Heading2"/>
      </w:pPr>
      <w:r>
        <w:t xml:space="preserve">5. Le Lead Time (Temps de traversée)</w:t>
      </w:r>
    </w:p>
    <w:p>
      <w:pPr>
        <w:pStyle w:val="FirstParagraph"/>
      </w:pPr>
      <w:r>
        <w:rPr>
          <w:b/>
          <w:bCs/>
        </w:rPr>
        <w:t xml:space="preserve">Indicateur : Le délai promis au client.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Définition</w:t>
      </w:r>
      <w:r>
        <w:t xml:space="preserve"> </w:t>
      </w:r>
      <w:r>
        <w:t xml:space="preserve">: Le temps total qui s’écoule entre l’entrée d’une feuille brute au Poste 1 et la sortie d’une cocotte terminée au Poste 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Enjeux</w:t>
      </w:r>
      <w:r>
        <w:t xml:space="preserve"> </w:t>
      </w:r>
      <w:r>
        <w:t xml:space="preserve">: Plus le système est chargé en en-cours (Round 1), plus une pièce met du temps à le traverser. (Ex : ~18 min)</w:t>
      </w:r>
    </w:p>
    <w:p>
      <w:pPr>
        <w:pStyle w:val="Compact"/>
        <w:numPr>
          <w:ilvl w:val="0"/>
          <w:numId w:val="1005"/>
        </w:numPr>
      </w:pPr>
      <w:r>
        <w:t xml:space="preserve">Réduire le Lead Time, c’est gagner en agilité logistique et en temps de réponse aux clients. (Ex : ~5 min en flux tiré Kanban)</w:t>
      </w:r>
    </w:p>
    <w:p>
      <w:r>
        <w:pict>
          <v:rect style="width:0;height:1.5pt" o:hralign="center" o:hrstd="t" o:hr="t"/>
        </w:pict>
      </w:r>
    </w:p>
    <w:bookmarkEnd w:id="17"/>
    <w:bookmarkStart w:id="18" w:name="la-loi-de-little"/>
    <w:p>
      <w:pPr>
        <w:pStyle w:val="Heading2"/>
      </w:pPr>
      <w:r>
        <w:t xml:space="preserve">6. La Loi de Little</w:t>
      </w:r>
    </w:p>
    <w:p>
      <w:pPr>
        <w:pStyle w:val="FirstParagraph"/>
      </w:pPr>
      <w:r>
        <w:rPr>
          <w:b/>
          <w:bCs/>
        </w:rPr>
        <w:t xml:space="preserve">L’équation fondamentale de gestion des flux de production.</w:t>
      </w:r>
    </w:p>
    <w:p>
      <w:pPr>
        <w:pStyle w:val="BlockText"/>
      </w:pPr>
      <w:r>
        <w:rPr>
          <w:b/>
          <w:bCs/>
        </w:rPr>
        <w:t xml:space="preserve">WIP = Débit × Lead 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 que cela signifie :</w:t>
      </w:r>
      <w:r>
        <w:t xml:space="preserve"> </w:t>
      </w:r>
      <w:r>
        <w:t xml:space="preserve">Si l’on cherche à réduire nos délais (Lead Time) pour un débit donné, il n’y a qu’une méthode efficace et immédiate :</w:t>
      </w:r>
      <w:r>
        <w:t xml:space="preserve"> </w:t>
      </w:r>
      <w:r>
        <w:rPr>
          <w:b/>
          <w:bCs/>
        </w:rPr>
        <w:t xml:space="preserve">il faut réduire le nombre d’en-cours (WIP) sur les lignes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le-takt-time"/>
    <w:p>
      <w:pPr>
        <w:pStyle w:val="Heading2"/>
      </w:pPr>
      <w:r>
        <w:t xml:space="preserve">7. Le Takt Time</w:t>
      </w:r>
    </w:p>
    <w:p>
      <w:pPr>
        <w:pStyle w:val="FirstParagraph"/>
      </w:pPr>
      <w:r>
        <w:rPr>
          <w:b/>
          <w:bCs/>
        </w:rPr>
        <w:t xml:space="preserve">Indicateur : Le rythme du monde extérieur.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Définition</w:t>
      </w:r>
      <w:r>
        <w:t xml:space="preserve"> </w:t>
      </w:r>
      <w:r>
        <w:t xml:space="preserve">: Le rythme de production imposé par la demande du client.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Takt Time = Temps d'ouverture / Demande client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  <w:r>
        <w:t xml:space="preserve"> </w:t>
      </w:r>
      <w:r>
        <w:t xml:space="preserve">Demande de 100 cocottes sur 60 minutes disponibles = 1 pièce demandée toutes les 36 secondes.</w:t>
      </w:r>
      <w:r>
        <w:t xml:space="preserve"> </w:t>
      </w:r>
      <w:r>
        <w:rPr>
          <w:b/>
          <w:bCs/>
        </w:rPr>
        <w:t xml:space="preserve">Aucun</w:t>
      </w:r>
      <w:r>
        <w:t xml:space="preserve"> </w:t>
      </w:r>
      <w:r>
        <w:t xml:space="preserve">poste ne doit consommer un temps de cycle supérieur à ce Takt Time sous peine de générer des retards sur toute la ligne.</w:t>
      </w:r>
    </w:p>
    <w:p>
      <w:r>
        <w:pict>
          <v:rect style="width:0;height:1.5pt" o:hralign="center" o:hrstd="t" o:hr="t"/>
        </w:pict>
      </w:r>
    </w:p>
    <w:bookmarkEnd w:id="19"/>
    <w:bookmarkStart w:id="20" w:name="le-trg-taux-de-rendement-global"/>
    <w:p>
      <w:pPr>
        <w:pStyle w:val="Heading2"/>
      </w:pPr>
      <w:r>
        <w:t xml:space="preserve">8. Le TRG (Taux de Rendement Global)</w:t>
      </w:r>
    </w:p>
    <w:p>
      <w:pPr>
        <w:pStyle w:val="FirstParagraph"/>
      </w:pPr>
      <w:r>
        <w:rPr>
          <w:b/>
          <w:bCs/>
        </w:rPr>
        <w:t xml:space="preserve">Indicateur : La mesure universelle de performance.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Définition</w:t>
      </w:r>
      <w:r>
        <w:t xml:space="preserve"> </w:t>
      </w:r>
      <w:r>
        <w:t xml:space="preserve">: Mesure synthétique évaluant la performance des moyens disponibles.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TRG = Disponibilité × Performance × Qualité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 voyage vers l’excellence 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Round 1 (Poussé)</w:t>
      </w:r>
      <w:r>
        <w:t xml:space="preserve"> </w:t>
      </w:r>
      <w:r>
        <w:t xml:space="preserve">: ~45% (La quantité ne compense pas les défauts)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Round 3 (Kaizen)</w:t>
      </w:r>
      <w:r>
        <w:t xml:space="preserve"> </w:t>
      </w:r>
      <w:r>
        <w:t xml:space="preserve">: &gt; 90% (Classe mondiale, sérénité au poste)</w:t>
      </w:r>
    </w:p>
    <w:p>
      <w:r>
        <w:pict>
          <v:rect style="width:0;height:1.5pt" o:hralign="center" o:hrstd="t" o:hr="t"/>
        </w:pict>
      </w:r>
    </w:p>
    <w:bookmarkEnd w:id="20"/>
    <w:bookmarkStart w:id="21" w:name="synthèse-conclusion"/>
    <w:p>
      <w:pPr>
        <w:pStyle w:val="Heading2"/>
      </w:pPr>
      <w:r>
        <w:t xml:space="preserve">Synthèse Conclusion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le suivre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Taux de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S’assurer qu’on produit utile et conforme.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WIP (En-cours)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le cholestérol de l’atelier ! À réduire.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le délai subi par notre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Prouve la régularité et la capacité de la ligne.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Takt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le</w:t>
            </w:r>
            <w:r>
              <w:t xml:space="preserve"> </w:t>
            </w:r>
            <w:r>
              <w:t xml:space="preserve">“métronome”</w:t>
            </w:r>
            <w:r>
              <w:t xml:space="preserve"> </w:t>
            </w:r>
            <w:r>
              <w:t xml:space="preserve">calé sur les commandes.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L’indicateur final qui atteste de l’Excellence.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2026-03-17T06:10:04Z</dcterms:created>
  <dcterms:modified xsi:type="dcterms:W3CDTF">2026-03-17T06:10:04Z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