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color="auto" w:fill="1A376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76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imm_placehold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76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  <w:shd w:val="clear" w:color="auto" w:fill="1A376C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Pôle Formation UIMM - CVDL</w:t>
            </w:r>
            <w:r>
              <w:br/>
            </w:r>
            <w:r>
              <w:rPr>
                <w:b/>
                <w:color w:val="FFFFFF"/>
                <w:sz w:val="28"/>
              </w:rPr>
              <w:t>Cheat Sheet — Prompt Engineering</w:t>
            </w:r>
            <w:r>
              <w:br/>
            </w:r>
            <w:r>
              <w:rPr>
                <w:color w:val="CCDDFF"/>
                <w:sz w:val="18"/>
              </w:rPr>
              <w:t>Les techniques essentielles pour maitriser l'IA generative</w:t>
            </w:r>
          </w:p>
        </w:tc>
      </w:tr>
    </w:tbl>
    <w:p/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Les frameworks de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Framework AUTOMAT</w:t>
            </w:r>
          </w:p>
        </w:tc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2"/>
              </w:rPr>
              <w:t>Framework CO-STAR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A — Act as... : </w:t>
            </w:r>
            <w:r>
              <w:rPr>
                <w:sz w:val="18"/>
              </w:rPr>
              <w:t>Définir le rôle / persona de l'IA</w:t>
            </w:r>
          </w:p>
        </w:tc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C — Context : </w:t>
            </w:r>
            <w:r>
              <w:rPr>
                <w:sz w:val="18"/>
              </w:rPr>
              <w:t>Contexte et arrière-plan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U — User &amp; Audience : </w:t>
            </w:r>
            <w:r>
              <w:rPr>
                <w:sz w:val="18"/>
              </w:rPr>
              <w:t>Qui est l'interlocuteur ?</w:t>
            </w:r>
          </w:p>
        </w:tc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O — Objective : </w:t>
            </w:r>
            <w:r>
              <w:rPr>
                <w:sz w:val="18"/>
              </w:rPr>
              <w:t>Objectif clair à atteindre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T — Targeted Action : </w:t>
            </w:r>
            <w:r>
              <w:rPr>
                <w:sz w:val="18"/>
              </w:rPr>
              <w:t>Quelle action précise ?</w:t>
            </w:r>
          </w:p>
        </w:tc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S — Style &amp; Tone : </w:t>
            </w:r>
            <w:r>
              <w:rPr>
                <w:sz w:val="18"/>
              </w:rPr>
              <w:t>Style et tonalité souhaitée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O — Output Definition : </w:t>
            </w:r>
            <w:r>
              <w:rPr>
                <w:sz w:val="18"/>
              </w:rPr>
              <w:t>Quel format de sortie ?</w:t>
            </w:r>
          </w:p>
        </w:tc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T — Target Audience : </w:t>
            </w:r>
            <w:r>
              <w:rPr>
                <w:sz w:val="18"/>
              </w:rPr>
              <w:t>Public cible visé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M — Mode / Tonalité : </w:t>
            </w:r>
            <w:r>
              <w:rPr>
                <w:sz w:val="18"/>
              </w:rPr>
              <w:t>Quel style de réponse ?</w:t>
            </w:r>
          </w:p>
        </w:tc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A — Action : </w:t>
            </w:r>
            <w:r>
              <w:rPr>
                <w:sz w:val="18"/>
              </w:rPr>
              <w:t>Action concrète demandée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A — Atypical Cases : </w:t>
            </w:r>
            <w:r>
              <w:rPr>
                <w:sz w:val="18"/>
              </w:rPr>
              <w:t>Comment gérer les cas limites ?</w:t>
            </w:r>
          </w:p>
        </w:tc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R — Response Format : </w:t>
            </w:r>
            <w:r>
              <w:rPr>
                <w:sz w:val="18"/>
              </w:rPr>
              <w:t>Format de la réponse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 xml:space="preserve">T — Topic Whitelisting : </w:t>
            </w:r>
            <w:r>
              <w:rPr>
                <w:sz w:val="18"/>
              </w:rPr>
              <w:t>Quels sujets sont autorisés ?</w:t>
            </w:r>
          </w:p>
        </w:tc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Les 5 techniques fondamentales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1. Zero-Shot</w:t>
            </w:r>
          </w:p>
        </w:tc>
        <w:tc>
          <w:tcPr>
            <w:tcW w:type="dxa" w:w="4986"/>
            <w:shd w:val="clear" w:color="auto" w:fill="EEF2F7"/>
          </w:tcPr>
          <w:p>
            <w:pPr>
              <w:ind w:left="170"/>
            </w:pPr>
            <w:r>
              <w:rPr>
                <w:sz w:val="18"/>
              </w:rPr>
              <w:t>Poser une question directe sans exemple.</w:t>
              <w:br/>
              <w:t>Ex : « Résume ce texte en 3 points »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2. Few-Shot (exemples)</w:t>
            </w:r>
          </w:p>
        </w:tc>
        <w:tc>
          <w:tcPr>
            <w:tcW w:type="dxa" w:w="4986"/>
            <w:shd w:val="clear" w:color="auto" w:fill="EEF2F7"/>
          </w:tcPr>
          <w:p>
            <w:pPr>
              <w:ind w:left="170"/>
            </w:pPr>
            <w:r>
              <w:rPr>
                <w:sz w:val="18"/>
              </w:rPr>
              <w:t>Montrer 2-3 exemples avant la vraie question.</w:t>
              <w:br/>
              <w:t>Ex : Entree: 'chat' → Sortie: 'animal domestique'</w:t>
              <w:br/>
              <w:t xml:space="preserve">     Entree: 'Ford' → Sortie: ?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3. Chain-of-Thought (etape par etape)</w:t>
            </w:r>
          </w:p>
        </w:tc>
        <w:tc>
          <w:tcPr>
            <w:tcW w:type="dxa" w:w="4986"/>
            <w:shd w:val="clear" w:color="auto" w:fill="EEF2F7"/>
          </w:tcPr>
          <w:p>
            <w:pPr>
              <w:ind w:left="170"/>
            </w:pPr>
            <w:r>
              <w:rPr>
                <w:sz w:val="18"/>
              </w:rPr>
              <w:t>Forcer l'IA à raisonner avant de répondre.</w:t>
              <w:br/>
              <w:t>Ex : « Résous ce problème étape par étape, montre ton raisonnement avant de donner la réponse. »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4. RAG (tes propres documents)</w:t>
            </w:r>
          </w:p>
        </w:tc>
        <w:tc>
          <w:tcPr>
            <w:tcW w:type="dxa" w:w="4986"/>
            <w:shd w:val="clear" w:color="auto" w:fill="EEF2F7"/>
          </w:tcPr>
          <w:p>
            <w:pPr>
              <w:ind w:left="170"/>
            </w:pPr>
            <w:r>
              <w:rPr>
                <w:sz w:val="18"/>
              </w:rPr>
              <w:t>Fournir un document source pour ancrer les réponses.</w:t>
              <w:br/>
              <w:t>Ex avec NotebookLM : importer son PDF puis questionner.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shd w:val="clear" w:color="auto" w:fill="1A376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5. Role Prompting</w:t>
            </w:r>
          </w:p>
        </w:tc>
        <w:tc>
          <w:tcPr>
            <w:tcW w:type="dxa" w:w="4986"/>
            <w:shd w:val="clear" w:color="auto" w:fill="EEF2F7"/>
          </w:tcPr>
          <w:p>
            <w:pPr>
              <w:ind w:left="170"/>
            </w:pPr>
            <w:r>
              <w:rPr>
                <w:sz w:val="18"/>
              </w:rPr>
              <w:t>Attribuer un rôle expert à l'IA.</w:t>
              <w:br/>
              <w:t>Ex : « Tu es un expert en maintenance industrielle avec 20 ans d'expérience... »</w:t>
            </w:r>
          </w:p>
        </w:tc>
      </w:tr>
    </w:tbl>
    <w:p>
      <w:pPr>
        <w:spacing w:after="60"/>
      </w:pPr>
    </w:p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Les 5 concepts cles a connaitre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Explication rapide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>Token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L'IA ne lit pas des mots mais des syllabes (tokens). 1 mot ≈ 1,3 tokens.</w:t>
            </w:r>
          </w:p>
        </w:tc>
      </w:tr>
      <w:tr>
        <w:tc>
          <w:tcPr>
            <w:tcW w:type="dxa" w:w="4986"/>
            <w:shd w:val="clear" w:color="auto" w:fill="EEF2F7"/>
          </w:tcPr>
          <w:p>
            <w:r>
              <w:rPr>
                <w:b/>
                <w:color w:val="1A376C"/>
                <w:sz w:val="18"/>
              </w:rPr>
              <w:t>Fenetre de contexte</w:t>
            </w:r>
          </w:p>
        </w:tc>
        <w:tc>
          <w:tcPr>
            <w:tcW w:type="dxa" w:w="4986"/>
            <w:shd w:val="clear" w:color="auto" w:fill="EEF2F7"/>
          </w:tcPr>
          <w:p>
            <w:r>
              <w:rPr>
                <w:sz w:val="18"/>
              </w:rPr>
              <w:t>La memoire a court terme de l'IA. Au-dela, elle 'oublie' le debut.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>Temperature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Curseur creativite : basse = factuel/precis, haute = creatif/risque.</w:t>
            </w:r>
          </w:p>
        </w:tc>
      </w:tr>
      <w:tr>
        <w:tc>
          <w:tcPr>
            <w:tcW w:type="dxa" w:w="4986"/>
            <w:shd w:val="clear" w:color="auto" w:fill="EEF2F7"/>
          </w:tcPr>
          <w:p>
            <w:r>
              <w:rPr>
                <w:b/>
                <w:color w:val="1A376C"/>
                <w:sz w:val="18"/>
              </w:rPr>
              <w:t>Hallucination</w:t>
            </w:r>
          </w:p>
        </w:tc>
        <w:tc>
          <w:tcPr>
            <w:tcW w:type="dxa" w:w="4986"/>
            <w:shd w:val="clear" w:color="auto" w:fill="EEF2F7"/>
          </w:tcPr>
          <w:p>
            <w:r>
              <w:rPr>
                <w:sz w:val="18"/>
              </w:rPr>
              <w:t>L'IA invente une reponse plausible quand elle ne sait pas. Toujours verifier.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376C"/>
                <w:sz w:val="18"/>
              </w:rPr>
              <w:t>RAG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Retrieval-Augmented Generation : l'IA repond a partir de VOS documents. Elimine les hallucinations sur vos sources.</w:t>
            </w:r>
          </w:p>
        </w:tc>
      </w:tr>
    </w:tbl>
    <w:p/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Erreurs classiques a eviter</w:t>
      </w:r>
    </w:p>
    <w:p>
      <w:pPr>
        <w:pStyle w:val="ListBullet"/>
        <w:ind w:left="283"/>
      </w:pPr>
      <w:r>
        <w:rPr>
          <w:sz w:val="18"/>
        </w:rPr>
        <w:t>Trop vague : 'Ecris quelque chose sur la qualite' → Precisez le contexte, le format, le public.</w:t>
      </w:r>
    </w:p>
    <w:p>
      <w:pPr>
        <w:pStyle w:val="ListBullet"/>
        <w:ind w:left="283"/>
      </w:pPr>
      <w:r>
        <w:rPr>
          <w:sz w:val="18"/>
        </w:rPr>
        <w:t>Trop long d'un coup : Decoupez les taches complexes en plusieurs prompts successifs.</w:t>
      </w:r>
    </w:p>
    <w:p>
      <w:pPr>
        <w:pStyle w:val="ListBullet"/>
        <w:ind w:left="283"/>
      </w:pPr>
      <w:r>
        <w:rPr>
          <w:sz w:val="18"/>
        </w:rPr>
        <w:t>Pas de format de sortie : Precisez toujours 'en tableau', 'en bullet points', 'en JSON'...</w:t>
      </w:r>
    </w:p>
    <w:p>
      <w:pPr>
        <w:pStyle w:val="ListBullet"/>
        <w:ind w:left="283"/>
      </w:pPr>
      <w:r>
        <w:rPr>
          <w:sz w:val="18"/>
        </w:rPr>
        <w:t>Faire confiance aveuglément : Verifiez toujours les faits critiques, dates, chiffres cites.</w:t>
      </w:r>
    </w:p>
    <w:p>
      <w:pPr>
        <w:pStyle w:val="ListBullet"/>
        <w:ind w:left="283"/>
      </w:pPr>
      <w:r>
        <w:rPr>
          <w:sz w:val="18"/>
        </w:rPr>
        <w:t>Ignorer l'historique : Dans une conversation, chaque message est contexte pour le suivant.</w:t>
      </w:r>
    </w:p>
    <w:p/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Outils recommandes — Formation UIMM-CVDL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Outil</w:t>
            </w:r>
          </w:p>
        </w:tc>
        <w:tc>
          <w:tcPr>
            <w:tcW w:type="dxa" w:w="3324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Acces</w:t>
            </w:r>
          </w:p>
        </w:tc>
        <w:tc>
          <w:tcPr>
            <w:tcW w:type="dxa" w:w="3324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Usage principal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1A376C"/>
                <w:sz w:val="18"/>
              </w:rPr>
              <w:t>NotebookLM (Google)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notebooklm.google.com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Interroger ses propres documents PDF/Word. Cree des podcasts audio. Gratuit.</w:t>
            </w:r>
          </w:p>
        </w:tc>
      </w:tr>
      <w:tr>
        <w:tc>
          <w:tcPr>
            <w:tcW w:type="dxa" w:w="3324"/>
            <w:shd w:val="clear" w:color="auto" w:fill="EEF2F7"/>
          </w:tcPr>
          <w:p>
            <w:r>
              <w:rPr>
                <w:b/>
                <w:color w:val="1A376C"/>
                <w:sz w:val="18"/>
              </w:rPr>
              <w:t>Antigravity</w:t>
            </w:r>
          </w:p>
        </w:tc>
        <w:tc>
          <w:tcPr>
            <w:tcW w:type="dxa" w:w="3324"/>
            <w:shd w:val="clear" w:color="auto" w:fill="EEF2F7"/>
          </w:tcPr>
          <w:p>
            <w:r>
              <w:rPr>
                <w:sz w:val="16"/>
              </w:rPr>
              <w:t>Interface locale formation</w:t>
            </w:r>
          </w:p>
        </w:tc>
        <w:tc>
          <w:tcPr>
            <w:tcW w:type="dxa" w:w="3324"/>
            <w:shd w:val="clear" w:color="auto" w:fill="EEF2F7"/>
          </w:tcPr>
          <w:p>
            <w:r>
              <w:rPr>
                <w:sz w:val="18"/>
              </w:rPr>
              <w:t>Agent IA avance. Automatise des taches, ecrit du code, navigue le web.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1A376C"/>
                <w:sz w:val="18"/>
              </w:rPr>
              <w:t>Gemini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gemini.google.com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LLM Google. Integre a Google Workspace (Docs, Sheets, Gmail). Compte UIMM.</w:t>
            </w:r>
          </w:p>
        </w:tc>
      </w:tr>
      <w:tr>
        <w:tc>
          <w:tcPr>
            <w:tcW w:type="dxa" w:w="3324"/>
            <w:shd w:val="clear" w:color="auto" w:fill="EEF2F7"/>
          </w:tcPr>
          <w:p>
            <w:r>
              <w:rPr>
                <w:b/>
                <w:color w:val="1A376C"/>
                <w:sz w:val="18"/>
              </w:rPr>
              <w:t>ChatGPT</w:t>
            </w:r>
          </w:p>
        </w:tc>
        <w:tc>
          <w:tcPr>
            <w:tcW w:type="dxa" w:w="3324"/>
            <w:shd w:val="clear" w:color="auto" w:fill="EEF2F7"/>
          </w:tcPr>
          <w:p>
            <w:r>
              <w:rPr>
                <w:sz w:val="16"/>
              </w:rPr>
              <w:t>chatgpt.com</w:t>
            </w:r>
          </w:p>
        </w:tc>
        <w:tc>
          <w:tcPr>
            <w:tcW w:type="dxa" w:w="3324"/>
            <w:shd w:val="clear" w:color="auto" w:fill="EEF2F7"/>
          </w:tcPr>
          <w:p>
            <w:r>
              <w:rPr>
                <w:sz w:val="18"/>
              </w:rPr>
              <w:t>LLM OpenAI. Interface conviviale. Version gratuite suffisante pour la formation.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Pôle Formation UIMM - CVDL  |  Formateur : S. JAUBERT  |  Reproduction interdite sans accord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