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536"/>
        <w:gridCol w:w="4536"/>
      </w:tblGrid>
      <w:tr>
        <w:tc>
          <w:tcPr>
            <w:tcW w:type="dxa" w:w="1984"/>
            <w:shd w:fill="1A5F9A" w:val="clear"/>
          </w:tcPr>
          <w:p>
            <w:pPr>
              <w:spacing w:before="160" w:after="160"/>
              <w:jc w:val="center"/>
            </w:pPr>
            <w:r>
              <w:rPr>
                <w:sz w:val="56"/>
              </w:rPr>
              <w:t>⚖️</w:t>
            </w:r>
          </w:p>
        </w:tc>
        <w:tc>
          <w:tcPr>
            <w:tcW w:type="dxa" w:w="6803"/>
          </w:tcPr>
          <w:p>
            <w:pPr>
              <w:spacing w:before="120"/>
              <w:ind w:left="283"/>
            </w:pPr>
            <w:r>
              <w:rPr>
                <w:b/>
                <w:color w:val="1A5F9A"/>
                <w:sz w:val="26"/>
              </w:rPr>
              <w:t>POLITIQUE D'UTILISATION ACCEPTABLE</w:t>
              <w:br/>
              <w:t>DE L'INTELLIGENCE ARTIFICIELLE</w:t>
              <w:br/>
            </w:r>
            <w:r>
              <w:rPr>
                <w:i/>
                <w:color w:val="555555"/>
                <w:sz w:val="19"/>
              </w:rPr>
              <w:t>Document applicable à tout salarié utilisant un outil d'IA dans le cadre de ses fonctions</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E3F2FD" w:val="clear"/>
          </w:tcPr>
          <w:p>
            <w:pPr>
              <w:jc w:val="center"/>
            </w:pPr>
            <w:r>
              <w:rPr>
                <w:color w:val="555555"/>
                <w:sz w:val="16"/>
              </w:rPr>
              <w:t>Référence</w:t>
              <w:br/>
            </w:r>
            <w:r>
              <w:rPr>
                <w:b/>
                <w:sz w:val="20"/>
              </w:rPr>
              <w:t>POL-IA-001</w:t>
            </w:r>
          </w:p>
        </w:tc>
        <w:tc>
          <w:tcPr>
            <w:tcW w:type="dxa" w:w="2268"/>
            <w:shd w:fill="E3F2FD" w:val="clear"/>
          </w:tcPr>
          <w:p>
            <w:pPr>
              <w:jc w:val="center"/>
            </w:pPr>
            <w:r>
              <w:rPr>
                <w:color w:val="555555"/>
                <w:sz w:val="16"/>
              </w:rPr>
              <w:t>Version</w:t>
              <w:br/>
            </w:r>
            <w:r>
              <w:rPr>
                <w:b/>
                <w:sz w:val="20"/>
              </w:rPr>
              <w:t>1.0</w:t>
            </w:r>
          </w:p>
        </w:tc>
        <w:tc>
          <w:tcPr>
            <w:tcW w:type="dxa" w:w="2268"/>
            <w:shd w:fill="E3F2FD" w:val="clear"/>
          </w:tcPr>
          <w:p>
            <w:pPr>
              <w:jc w:val="center"/>
            </w:pPr>
            <w:r>
              <w:rPr>
                <w:color w:val="555555"/>
                <w:sz w:val="16"/>
              </w:rPr>
              <w:t>Date</w:t>
              <w:br/>
            </w:r>
            <w:r>
              <w:rPr>
                <w:b/>
                <w:sz w:val="20"/>
              </w:rPr>
              <w:t>Avril 2026</w:t>
            </w:r>
          </w:p>
        </w:tc>
        <w:tc>
          <w:tcPr>
            <w:tcW w:type="dxa" w:w="2268"/>
            <w:shd w:fill="E3F2FD" w:val="clear"/>
          </w:tcPr>
          <w:p>
            <w:pPr>
              <w:jc w:val="center"/>
            </w:pPr>
            <w:r>
              <w:rPr>
                <w:color w:val="555555"/>
                <w:sz w:val="16"/>
              </w:rPr>
              <w:t>Statut</w:t>
              <w:br/>
            </w:r>
            <w:r>
              <w:rPr>
                <w:b/>
                <w:sz w:val="20"/>
              </w:rPr>
              <w:t>En vigueur</w:t>
            </w:r>
          </w:p>
        </w:tc>
      </w:tr>
    </w:tbl>
    <w:p/>
    <w:tbl>
      <w:tblPr>
        <w:tblW w:type="auto" w:w="0"/>
        <w:tblLook w:firstColumn="1" w:firstRow="1" w:lastColumn="0" w:lastRow="0" w:noHBand="0" w:noVBand="1" w:val="04A0"/>
      </w:tblPr>
      <w:tblGrid>
        <w:gridCol w:w="9072"/>
      </w:tblGrid>
      <w:tr>
        <w:tc>
          <w:tcPr>
            <w:tcW w:type="dxa" w:w="9072"/>
            <w:shd w:fill="E3F2FD" w:val="clear"/>
          </w:tcPr>
          <w:p>
            <w:pPr>
              <w:spacing w:before="100" w:after="100"/>
              <w:ind w:left="227"/>
            </w:pPr>
            <w:r>
              <w:rPr>
                <w:b/>
                <w:sz w:val="22"/>
              </w:rPr>
              <w:t xml:space="preserve">📌 OBJET DU DOCUMENT : </w:t>
            </w:r>
            <w:r>
              <w:rPr>
                <w:sz w:val="22"/>
              </w:rPr>
              <w:t>Cette politique définit les règles d'utilisation des outils d'intelligence artificielle (IA) au sein de l'entreprise, notamment dans le cadre des formations et des usages professionnels quotidiens. Elle s'applique à tous les salariés, stagiaires et prestataires utilisant un outil IA sur les équipements ou dans le cadre d'activités de l'entreprise.</w:t>
            </w:r>
          </w:p>
        </w:tc>
      </w:tr>
    </w:tbl>
    <w:p>
      <w:pPr>
        <w:spacing w:after="60"/>
      </w:pPr>
    </w:p>
    <w:p>
      <w:r>
        <w:br w:type="page"/>
      </w:r>
    </w:p>
    <w:p>
      <w:pPr>
        <w:spacing w:before="280" w:after="120"/>
        <w:pBdr>
          <w:bottom w:val="single" w:sz="6" w:space="4" w:color="1A5F9A"/>
        </w:pBdr>
      </w:pPr>
      <w:r>
        <w:rPr>
          <w:b/>
          <w:color w:val="1A5F9A"/>
          <w:sz w:val="28"/>
        </w:rPr>
        <w:t>PRÉAMBULE</w:t>
      </w:r>
    </w:p>
    <w:p>
      <w:pPr>
        <w:spacing w:after="100"/>
      </w:pPr>
      <w:r>
        <w:rPr>
          <w:sz w:val="22"/>
        </w:rPr>
        <w:t>L'intelligence artificielle générative représente une opportunité significative d'amélioration de la productivité et de la qualité du travail. L'entreprise encourage ses collaborateurs à explorer et adopter ces technologies de façon responsable et éclairée.</w:t>
      </w:r>
    </w:p>
    <w:p>
      <w:pPr>
        <w:spacing w:after="100"/>
      </w:pPr>
      <w:r>
        <w:rPr>
          <w:sz w:val="22"/>
        </w:rPr>
        <w:t>La présente politique a pour objectifs de :</w:t>
      </w:r>
    </w:p>
    <w:p>
      <w:pPr>
        <w:pStyle w:val="ListBullet"/>
        <w:spacing w:after="60"/>
      </w:pPr>
      <w:r>
        <w:rPr>
          <w:sz w:val="22"/>
        </w:rPr>
        <w:t>Définir un cadre clair et sécurisé pour l'utilisation professionnelle de l'IA</w:t>
      </w:r>
    </w:p>
    <w:p>
      <w:pPr>
        <w:pStyle w:val="ListBullet"/>
        <w:spacing w:after="60"/>
      </w:pPr>
      <w:r>
        <w:rPr>
          <w:sz w:val="22"/>
        </w:rPr>
        <w:t>Protéger les données de l'entreprise, de ses clients et de ses salariés</w:t>
      </w:r>
    </w:p>
    <w:p>
      <w:pPr>
        <w:pStyle w:val="ListBullet"/>
        <w:spacing w:after="60"/>
      </w:pPr>
      <w:r>
        <w:rPr>
          <w:sz w:val="22"/>
        </w:rPr>
        <w:t>Garantir la conformité avec le Règlement Général sur la Protection des Données (RGPD)</w:t>
      </w:r>
    </w:p>
    <w:p>
      <w:pPr>
        <w:pStyle w:val="ListBullet"/>
        <w:spacing w:after="60"/>
      </w:pPr>
      <w:r>
        <w:rPr>
          <w:sz w:val="22"/>
        </w:rPr>
        <w:t>Prévenir les risques liés à une utilisation non éclairée de l'IA</w:t>
      </w:r>
    </w:p>
    <w:p>
      <w:pPr>
        <w:pStyle w:val="ListBullet"/>
        <w:spacing w:after="60"/>
      </w:pPr>
      <w:r>
        <w:rPr>
          <w:sz w:val="22"/>
        </w:rPr>
        <w:t>Encourager une adoption responsable et créatrice de valeur</w:t>
      </w:r>
    </w:p>
    <w:p>
      <w:pPr>
        <w:spacing w:after="100"/>
      </w:pPr>
      <w:r>
        <w:rPr>
          <w:sz w:val="22"/>
        </w:rPr>
        <w:t>Cette politique s'inscrit dans le respect de la réglementation européenne, notamment le Règlement (UE) 2024/1689 relatif à l'intelligence artificielle (AI Act), le RGPD (Règlement (UE) 2016/679), ainsi que le Code du travail français.</w:t>
      </w:r>
    </w:p>
    <w:p>
      <w:pPr>
        <w:spacing w:before="280" w:after="120"/>
        <w:pBdr>
          <w:bottom w:val="single" w:sz="6" w:space="4" w:color="1A5F9A"/>
        </w:pBdr>
      </w:pPr>
      <w:r>
        <w:rPr>
          <w:b/>
          <w:color w:val="1A5F9A"/>
          <w:sz w:val="28"/>
        </w:rPr>
        <w:t>1. CHAMP D'APPLICATION</w:t>
      </w:r>
    </w:p>
    <w:p>
      <w:pPr>
        <w:spacing w:before="160" w:after="40"/>
      </w:pPr>
      <w:r>
        <w:rPr>
          <w:b/>
          <w:color w:val="1A5F9A"/>
          <w:sz w:val="23"/>
        </w:rPr>
        <w:t>Article 1.1 — Personnes concernées</w:t>
      </w:r>
    </w:p>
    <w:p>
      <w:pPr>
        <w:spacing w:after="120"/>
        <w:ind w:left="283"/>
      </w:pPr>
      <w:r>
        <w:rPr>
          <w:sz w:val="22"/>
        </w:rPr>
        <w:t>La présente politique s'applique à l'ensemble des personnes utilisant des outils d'IA dans le cadre professionnel au sein de l'entreprise : salariés en CDI/CDD, stagiaires, alternants, intérimaires, consultants et prestataires disposant d'un accès aux systèmes d'information de l'entreprise.</w:t>
      </w:r>
    </w:p>
    <w:p>
      <w:pPr>
        <w:spacing w:before="160" w:after="40"/>
      </w:pPr>
      <w:r>
        <w:rPr>
          <w:b/>
          <w:color w:val="1A5F9A"/>
          <w:sz w:val="23"/>
        </w:rPr>
        <w:t>Article 1.2 — Outils concernés</w:t>
      </w:r>
    </w:p>
    <w:p>
      <w:pPr>
        <w:spacing w:after="120"/>
        <w:ind w:left="283"/>
      </w:pPr>
      <w:r>
        <w:rPr>
          <w:sz w:val="22"/>
        </w:rPr>
        <w:t>Sont notamment visés : les assistants IA locaux (type Ollama/Accomplish), les assistants IA en ligne (type Claude, ChatGPT, Gemini, Copilot), les outils intégrés aux logiciels métiers (correcteurs IA, suggestions automatiques), et tout autre outil utilisant un modèle de langage à grande échelle (LLM).</w:t>
      </w:r>
    </w:p>
    <w:p>
      <w:pPr>
        <w:spacing w:before="160" w:after="40"/>
      </w:pPr>
      <w:r>
        <w:rPr>
          <w:b/>
          <w:color w:val="1A5F9A"/>
          <w:sz w:val="23"/>
        </w:rPr>
        <w:t>Article 1.3 — Priorité de la politique locale</w:t>
      </w:r>
    </w:p>
    <w:p>
      <w:pPr>
        <w:spacing w:after="120"/>
        <w:ind w:left="283"/>
      </w:pPr>
      <w:r>
        <w:rPr>
          <w:sz w:val="22"/>
        </w:rPr>
        <w:t>L'outil Accomplish avec le moteur Ollama installé localement sur les postes de formation est l'outil officiel de la formation. Dans ce contexte, les modèles fonctionnent intégralement sur les équipements de l'entreprise, sans transmission de données vers des serveurs externes.</w:t>
      </w:r>
    </w:p>
    <w:p>
      <w:pPr>
        <w:spacing w:before="280" w:after="120"/>
        <w:pBdr>
          <w:bottom w:val="single" w:sz="6" w:space="4" w:color="1A5F9A"/>
        </w:pBdr>
      </w:pPr>
      <w:r>
        <w:rPr>
          <w:b/>
          <w:color w:val="1A5F9A"/>
          <w:sz w:val="28"/>
        </w:rPr>
        <w:t>2. PRINCIPES GÉNÉRAUX D'UTILISATION</w:t>
      </w:r>
    </w:p>
    <w:p>
      <w:pPr>
        <w:spacing w:before="160" w:after="40"/>
      </w:pPr>
      <w:r>
        <w:rPr>
          <w:b/>
          <w:color w:val="1A5F9A"/>
          <w:sz w:val="23"/>
        </w:rPr>
        <w:t>Article 2.1 — Responsabilité humaine irréductible</w:t>
      </w:r>
    </w:p>
    <w:p>
      <w:pPr>
        <w:spacing w:after="120"/>
        <w:ind w:left="283"/>
      </w:pPr>
      <w:r>
        <w:rPr>
          <w:sz w:val="22"/>
        </w:rPr>
        <w:t>L'utilisation d'un outil d'IA ne décharge pas le salarié de sa responsabilité professionnelle. Tout document, communication ou décision produit avec l'aide de l'IA reste sous la responsabilité pleine et entière de l'auteur qui le signe ou le valide. L'IA est un outil d'aide, non un décideur.</w:t>
      </w:r>
    </w:p>
    <w:p>
      <w:pPr>
        <w:spacing w:before="160" w:after="40"/>
      </w:pPr>
      <w:r>
        <w:rPr>
          <w:b/>
          <w:color w:val="1A5F9A"/>
          <w:sz w:val="23"/>
        </w:rPr>
        <w:t>Article 2.2 — Vérification systématique</w:t>
      </w:r>
    </w:p>
    <w:p>
      <w:pPr>
        <w:spacing w:after="120"/>
        <w:ind w:left="283"/>
      </w:pPr>
      <w:r>
        <w:rPr>
          <w:sz w:val="22"/>
        </w:rPr>
        <w:t>Toute information générée par un outil d'IA doit être vérifiée avant utilisation, notamment : les données chiffrées, les références légales, les dates, les noms et coordonnées, et toute affirmation factuelle susceptible d'engager l'entreprise.</w:t>
      </w:r>
    </w:p>
    <w:p>
      <w:pPr>
        <w:spacing w:before="160" w:after="40"/>
      </w:pPr>
      <w:r>
        <w:rPr>
          <w:b/>
          <w:color w:val="1A5F9A"/>
          <w:sz w:val="23"/>
        </w:rPr>
        <w:t>Article 2.3 — Transparence</w:t>
      </w:r>
    </w:p>
    <w:p>
      <w:pPr>
        <w:spacing w:after="120"/>
        <w:ind w:left="283"/>
      </w:pPr>
      <w:r>
        <w:rPr>
          <w:sz w:val="22"/>
        </w:rPr>
        <w:t>Dans les relations professionnelles (propositions commerciales, communications officielles, rapports destinés à des tiers), l'utilisation de l'IA peut être mentionnée si elle a constitué une aide substantielle à la rédaction, dans le respect des pratiques sectorielles.</w:t>
      </w:r>
    </w:p>
    <w:p>
      <w:pPr>
        <w:spacing w:before="160" w:after="40"/>
      </w:pPr>
      <w:r>
        <w:rPr>
          <w:b/>
          <w:color w:val="1A5F9A"/>
          <w:sz w:val="23"/>
        </w:rPr>
        <w:t>Article 2.4 — Proportionnalité</w:t>
      </w:r>
    </w:p>
    <w:p>
      <w:pPr>
        <w:spacing w:after="120"/>
        <w:ind w:left="283"/>
      </w:pPr>
      <w:r>
        <w:rPr>
          <w:sz w:val="22"/>
        </w:rPr>
        <w:t>Les outils d'IA doivent être utilisés de façon proportionnée et pertinente. Ils ne doivent pas remplacer le jugement professionnel, la relation humaine, ni les compétences métier acquises par l'expérience.</w:t>
      </w:r>
    </w:p>
    <w:p>
      <w:pPr>
        <w:spacing w:before="280" w:after="120"/>
        <w:pBdr>
          <w:bottom w:val="single" w:sz="6" w:space="4" w:color="1A5F9A"/>
        </w:pBdr>
      </w:pPr>
      <w:r>
        <w:rPr>
          <w:b/>
          <w:color w:val="1A5F9A"/>
          <w:sz w:val="28"/>
        </w:rPr>
        <w:t>3. DONNÉES — CE QUI EST AUTORISÉ ET INTERDIT</w:t>
      </w:r>
    </w:p>
    <w:p>
      <w:pPr>
        <w:spacing w:after="100"/>
      </w:pPr>
      <w:r>
        <w:rPr>
          <w:sz w:val="22"/>
        </w:rPr>
        <w:t>Le tableau suivant définit les usages selon le type de données et le type d'outil utilisé :</w:t>
      </w:r>
    </w:p>
    <w:p>
      <w:pPr>
        <w:spacing w:before="200" w:after="80"/>
      </w:pPr>
      <w:r>
        <w:rPr>
          <w:b/>
          <w:color w:val="1A5F9A"/>
          <w:sz w:val="24"/>
        </w:rPr>
        <w:t>3.1 Avec l'outil local (Ollama sur poste entreprise) — Traitement en local</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2E8648" w:val="clear"/>
          </w:tcPr>
          <w:p>
            <w:pPr>
              <w:jc w:val="center"/>
            </w:pPr>
            <w:r>
              <w:rPr>
                <w:b/>
                <w:color w:val="FFFFFF"/>
                <w:sz w:val="21"/>
              </w:rPr>
              <w:t>✅ AUTORISÉ</w:t>
            </w:r>
          </w:p>
        </w:tc>
        <w:tc>
          <w:tcPr>
            <w:tcW w:type="dxa" w:w="3024"/>
            <w:shd w:fill="E86B00" w:val="clear"/>
          </w:tcPr>
          <w:p>
            <w:pPr>
              <w:jc w:val="center"/>
            </w:pPr>
            <w:r>
              <w:rPr>
                <w:b/>
                <w:color w:val="FFFFFF"/>
                <w:sz w:val="21"/>
              </w:rPr>
              <w:t>⚠️ ENCADRÉ</w:t>
            </w:r>
          </w:p>
        </w:tc>
        <w:tc>
          <w:tcPr>
            <w:tcW w:type="dxa" w:w="3024"/>
            <w:shd w:fill="C02020" w:val="clear"/>
          </w:tcPr>
          <w:p>
            <w:pPr>
              <w:jc w:val="center"/>
            </w:pPr>
            <w:r>
              <w:rPr>
                <w:b/>
                <w:color w:val="FFFFFF"/>
                <w:sz w:val="21"/>
              </w:rPr>
              <w:t>🚫 INTERDIT</w:t>
            </w:r>
          </w:p>
        </w:tc>
      </w:tr>
      <w:tr>
        <w:tc>
          <w:tcPr>
            <w:tcW w:type="dxa" w:w="2948"/>
          </w:tcPr>
          <w:p>
            <w:pPr>
              <w:ind w:left="113"/>
            </w:pPr>
            <w:r>
              <w:rPr>
                <w:sz w:val="19"/>
              </w:rPr>
              <w:t>• Données de l'entreprise non confidentielles</w:t>
              <w:br/>
              <w:t>• Documents de formation (supports fictifs)</w:t>
              <w:br/>
              <w:t>• Textes génériques à personnaliser</w:t>
              <w:br/>
              <w:t>• Données anonymisées (CV sans nom, cas fictifs)</w:t>
              <w:br/>
              <w:t>• Rédaction de procédures internes standards</w:t>
              <w:br/>
              <w:t>• Analyse de documents techniques (hors secrets)</w:t>
            </w:r>
          </w:p>
        </w:tc>
        <w:tc>
          <w:tcPr>
            <w:tcW w:type="dxa" w:w="2948"/>
          </w:tcPr>
          <w:p>
            <w:pPr>
              <w:ind w:left="113"/>
            </w:pPr>
            <w:r>
              <w:rPr>
                <w:sz w:val="19"/>
              </w:rPr>
              <w:t>• Données clients (avec accord et anonymisation)</w:t>
              <w:br/>
              <w:t>• Informations commerciales sensibles</w:t>
              <w:br/>
              <w:t>• Données salariales (vérifier avec DRH)</w:t>
              <w:br/>
              <w:t>• Documents contractuels (relire impérativement)</w:t>
              <w:br/>
              <w:t>• Résultats financiers internes</w:t>
            </w:r>
          </w:p>
        </w:tc>
        <w:tc>
          <w:tcPr>
            <w:tcW w:type="dxa" w:w="2948"/>
          </w:tcPr>
          <w:p>
            <w:pPr>
              <w:ind w:left="113"/>
            </w:pPr>
            <w:r>
              <w:rPr>
                <w:sz w:val="19"/>
              </w:rPr>
              <w:t>• Mots de passe et credentials</w:t>
              <w:br/>
              <w:t>• Données bancaires (RIB, IBAN)</w:t>
              <w:br/>
              <w:t>• Numéros de sécurité sociale</w:t>
              <w:br/>
              <w:t>• Données médicales de salariés</w:t>
              <w:br/>
              <w:t>• Secrets de fabrication brevetés</w:t>
              <w:br/>
              <w:t>• Données personnelles sans base légale</w:t>
            </w:r>
          </w:p>
        </w:tc>
      </w:tr>
    </w:tbl>
    <w:p>
      <w:pPr>
        <w:spacing w:after="160"/>
      </w:pPr>
    </w:p>
    <w:p>
      <w:pPr>
        <w:spacing w:before="200" w:after="80"/>
      </w:pPr>
      <w:r>
        <w:rPr>
          <w:b/>
          <w:color w:val="1A5F9A"/>
          <w:sz w:val="24"/>
        </w:rPr>
        <w:t>3.2 Avec un outil IA en ligne (cloud externe) — Données envoyées sur internet</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2E8648" w:val="clear"/>
          </w:tcPr>
          <w:p>
            <w:pPr>
              <w:jc w:val="center"/>
            </w:pPr>
            <w:r>
              <w:rPr>
                <w:b/>
                <w:color w:val="FFFFFF"/>
                <w:sz w:val="21"/>
              </w:rPr>
              <w:t>✅ AUTORISÉ</w:t>
            </w:r>
          </w:p>
        </w:tc>
        <w:tc>
          <w:tcPr>
            <w:tcW w:type="dxa" w:w="3024"/>
            <w:shd w:fill="E86B00" w:val="clear"/>
          </w:tcPr>
          <w:p>
            <w:pPr>
              <w:jc w:val="center"/>
            </w:pPr>
            <w:r>
              <w:rPr>
                <w:b/>
                <w:color w:val="FFFFFF"/>
                <w:sz w:val="21"/>
              </w:rPr>
              <w:t>⚠️ ENCADRÉ</w:t>
            </w:r>
          </w:p>
        </w:tc>
        <w:tc>
          <w:tcPr>
            <w:tcW w:type="dxa" w:w="3024"/>
            <w:shd w:fill="C02020" w:val="clear"/>
          </w:tcPr>
          <w:p>
            <w:pPr>
              <w:jc w:val="center"/>
            </w:pPr>
            <w:r>
              <w:rPr>
                <w:b/>
                <w:color w:val="FFFFFF"/>
                <w:sz w:val="21"/>
              </w:rPr>
              <w:t>🚫 INTERDIT</w:t>
            </w:r>
          </w:p>
        </w:tc>
      </w:tr>
      <w:tr>
        <w:tc>
          <w:tcPr>
            <w:tcW w:type="dxa" w:w="2948"/>
          </w:tcPr>
          <w:p>
            <w:pPr>
              <w:ind w:left="113"/>
            </w:pPr>
            <w:r>
              <w:rPr>
                <w:sz w:val="19"/>
              </w:rPr>
              <w:t>• Textes entièrement fictifs / formation</w:t>
              <w:br/>
              <w:t>• Demandes génériques sans contexte d'entreprise</w:t>
              <w:br/>
              <w:t>• Rédaction créative sans données internes</w:t>
              <w:br/>
              <w:t>• Questions générales sur un domaine</w:t>
              <w:br/>
              <w:t>• Traduction de textes publics</w:t>
            </w:r>
          </w:p>
        </w:tc>
        <w:tc>
          <w:tcPr>
            <w:tcW w:type="dxa" w:w="2948"/>
          </w:tcPr>
          <w:p>
            <w:pPr>
              <w:ind w:left="113"/>
            </w:pPr>
            <w:r>
              <w:rPr>
                <w:sz w:val="19"/>
              </w:rPr>
              <w:t>• Informations publiques sur l'entreprise</w:t>
              <w:br/>
              <w:t>• Textes non confidentiels avec validation DRH/Dir.</w:t>
              <w:br/>
              <w:t>• Questions métier génériques (sans noms/chiffres)</w:t>
            </w:r>
          </w:p>
        </w:tc>
        <w:tc>
          <w:tcPr>
            <w:tcW w:type="dxa" w:w="2948"/>
          </w:tcPr>
          <w:p>
            <w:pPr>
              <w:ind w:left="113"/>
            </w:pPr>
            <w:r>
              <w:rPr>
                <w:sz w:val="19"/>
              </w:rPr>
              <w:t>• Toute donnée personnelle (nom, adresse, etc.)</w:t>
              <w:br/>
              <w:t>• Données clients et prospects identifiés</w:t>
              <w:br/>
              <w:t>• Informations financières de l'entreprise</w:t>
              <w:br/>
              <w:t>• Données RH (fiches de paie, évaluations)</w:t>
              <w:br/>
              <w:t>• Contrats et documents confidentiels</w:t>
              <w:br/>
              <w:t>• Stratégie commerciale ou R&amp;D</w:t>
              <w:br/>
              <w:t>• Données de santé ou personnelles sensibles</w:t>
            </w:r>
          </w:p>
        </w:tc>
      </w:tr>
    </w:tbl>
    <w:p>
      <w:pPr>
        <w:spacing w:after="160"/>
      </w:pPr>
    </w:p>
    <w:tbl>
      <w:tblPr>
        <w:tblW w:type="auto" w:w="0"/>
        <w:tblLook w:firstColumn="1" w:firstRow="1" w:lastColumn="0" w:lastRow="0" w:noHBand="0" w:noVBand="1" w:val="04A0"/>
      </w:tblPr>
      <w:tblGrid>
        <w:gridCol w:w="9072"/>
      </w:tblGrid>
      <w:tr>
        <w:tc>
          <w:tcPr>
            <w:tcW w:type="dxa" w:w="9072"/>
            <w:shd w:fill="FFEBEE" w:val="clear"/>
          </w:tcPr>
          <w:p>
            <w:pPr>
              <w:spacing w:before="100" w:after="100"/>
              <w:ind w:left="227"/>
            </w:pPr>
            <w:r>
              <w:rPr>
                <w:b/>
                <w:color w:val="C02020"/>
                <w:sz w:val="22"/>
              </w:rPr>
              <w:t xml:space="preserve">⚖️ BASE LÉGALE (RGPD) : </w:t>
            </w:r>
            <w:r>
              <w:rPr>
                <w:sz w:val="22"/>
              </w:rPr>
              <w:t>Le traitement de données personnelles par des outils d'IA nécessite une base légale (Art. 6 RGPD) : consentement explicite, exécution d'un contrat, obligation légale, ou intérêt légitime. En cas de doute, consulter le Délégué à la Protection des Données (DPO) ou le service juridique avant tout traitement.</w:t>
            </w:r>
          </w:p>
        </w:tc>
      </w:tr>
    </w:tbl>
    <w:p>
      <w:pPr>
        <w:spacing w:after="60"/>
      </w:pPr>
    </w:p>
    <w:p>
      <w:pPr>
        <w:spacing w:before="280" w:after="120"/>
        <w:pBdr>
          <w:bottom w:val="single" w:sz="6" w:space="4" w:color="C02020"/>
        </w:pBdr>
      </w:pPr>
      <w:r>
        <w:rPr>
          <w:b/>
          <w:color w:val="C02020"/>
          <w:sz w:val="28"/>
        </w:rPr>
        <w:t>4. USAGES FORMELLEMENT INTERDITS</w:t>
      </w:r>
    </w:p>
    <w:tbl>
      <w:tblPr>
        <w:tblW w:type="auto" w:w="0"/>
        <w:tblLook w:firstColumn="1" w:firstRow="1" w:lastColumn="0" w:lastRow="0" w:noHBand="0" w:noVBand="1" w:val="04A0"/>
      </w:tblPr>
      <w:tblGrid>
        <w:gridCol w:w="9072"/>
      </w:tblGrid>
      <w:tr>
        <w:tc>
          <w:tcPr>
            <w:tcW w:type="dxa" w:w="9072"/>
            <w:shd w:fill="FFEBEE" w:val="clear"/>
          </w:tcPr>
          <w:p>
            <w:pPr>
              <w:spacing w:before="100" w:after="100"/>
              <w:ind w:left="227"/>
            </w:pPr>
            <w:r>
              <w:rPr>
                <w:b/>
                <w:color w:val="C02020"/>
                <w:sz w:val="22"/>
              </w:rPr>
              <w:t xml:space="preserve">🚫 LISTE DES INTERDICTIONS ABSOLUES : </w:t>
            </w:r>
            <w:r>
              <w:rPr>
                <w:sz w:val="22"/>
              </w:rPr>
            </w:r>
          </w:p>
        </w:tc>
      </w:tr>
    </w:tbl>
    <w:p>
      <w:pPr>
        <w:spacing w:after="60"/>
      </w:pPr>
    </w:p>
    <w:p>
      <w:pPr>
        <w:spacing w:before="80" w:after="40"/>
        <w:ind w:left="283"/>
      </w:pPr>
      <w:r>
        <w:rPr>
          <w:b/>
          <w:color w:val="C02020"/>
          <w:sz w:val="22"/>
        </w:rPr>
        <w:t xml:space="preserve">▶ Tromperie et fraude : </w:t>
      </w:r>
      <w:r>
        <w:rPr>
          <w:sz w:val="22"/>
        </w:rPr>
        <w:t>Utiliser l'IA pour créer de faux documents, falsifier des informations, usurper une identité ou produire des contenus mensongers.</w:t>
      </w:r>
    </w:p>
    <w:p>
      <w:pPr>
        <w:spacing w:before="80" w:after="40"/>
        <w:ind w:left="283"/>
      </w:pPr>
      <w:r>
        <w:rPr>
          <w:b/>
          <w:color w:val="C02020"/>
          <w:sz w:val="22"/>
        </w:rPr>
        <w:t xml:space="preserve">▶ Discrimination : </w:t>
      </w:r>
      <w:r>
        <w:rPr>
          <w:sz w:val="22"/>
        </w:rPr>
        <w:t>Utiliser l'IA dans des processus susceptibles de discriminer des personnes sur des critères protégés (origine, sexe, âge, handicap, religion...).</w:t>
      </w:r>
    </w:p>
    <w:p>
      <w:pPr>
        <w:spacing w:before="80" w:after="40"/>
        <w:ind w:left="283"/>
      </w:pPr>
      <w:r>
        <w:rPr>
          <w:b/>
          <w:color w:val="C02020"/>
          <w:sz w:val="22"/>
        </w:rPr>
        <w:t xml:space="preserve">▶ Violation de la vie privée : </w:t>
      </w:r>
      <w:r>
        <w:rPr>
          <w:sz w:val="22"/>
        </w:rPr>
        <w:t>Traiter des données personnelles sans base légale ou recueillir des informations personnelles sans consentement.</w:t>
      </w:r>
    </w:p>
    <w:p>
      <w:pPr>
        <w:spacing w:before="80" w:after="40"/>
        <w:ind w:left="283"/>
      </w:pPr>
      <w:r>
        <w:rPr>
          <w:b/>
          <w:color w:val="C02020"/>
          <w:sz w:val="22"/>
        </w:rPr>
        <w:t xml:space="preserve">▶ Atteinte aux droits d'auteur : </w:t>
      </w:r>
      <w:r>
        <w:rPr>
          <w:sz w:val="22"/>
        </w:rPr>
        <w:t>Reproduire massivement des œuvres protégées, présenter comme sien un texte généré sans travail de rédaction propre substantiel.</w:t>
      </w:r>
    </w:p>
    <w:p>
      <w:pPr>
        <w:spacing w:before="80" w:after="40"/>
        <w:ind w:left="283"/>
      </w:pPr>
      <w:r>
        <w:rPr>
          <w:b/>
          <w:color w:val="C02020"/>
          <w:sz w:val="22"/>
        </w:rPr>
        <w:t xml:space="preserve">▶ Désinformation : </w:t>
      </w:r>
      <w:r>
        <w:rPr>
          <w:sz w:val="22"/>
        </w:rPr>
        <w:t>Générer ou diffuser des contenus délibérément faux ou trompeurs, des deepfakes ou des informations manipulatoires.</w:t>
      </w:r>
    </w:p>
    <w:p>
      <w:pPr>
        <w:spacing w:before="80" w:after="40"/>
        <w:ind w:left="283"/>
      </w:pPr>
      <w:r>
        <w:rPr>
          <w:b/>
          <w:color w:val="C02020"/>
          <w:sz w:val="22"/>
        </w:rPr>
        <w:t xml:space="preserve">▶ Contournement de contrôles : </w:t>
      </w:r>
      <w:r>
        <w:rPr>
          <w:sz w:val="22"/>
        </w:rPr>
        <w:t>Utiliser l'IA pour contourner des procédures de validation, d'approbation ou de contrôle interne.</w:t>
      </w:r>
    </w:p>
    <w:p>
      <w:pPr>
        <w:spacing w:before="80" w:after="40"/>
        <w:ind w:left="283"/>
      </w:pPr>
      <w:r>
        <w:rPr>
          <w:b/>
          <w:color w:val="C02020"/>
          <w:sz w:val="22"/>
        </w:rPr>
        <w:t xml:space="preserve">▶ Utilisation à des fins personnelles abusives : </w:t>
      </w:r>
      <w:r>
        <w:rPr>
          <w:sz w:val="22"/>
        </w:rPr>
        <w:t>Utiliser les ressources et outils de l'entreprise (postes, accès internet) à des fins personnelles non liées à l'activité professionnelle.</w:t>
      </w:r>
    </w:p>
    <w:p>
      <w:pPr>
        <w:spacing w:before="280" w:after="120"/>
        <w:pBdr>
          <w:bottom w:val="single" w:sz="6" w:space="4" w:color="1A5F9A"/>
        </w:pBdr>
      </w:pPr>
      <w:r>
        <w:rPr>
          <w:b/>
          <w:color w:val="1A5F9A"/>
          <w:sz w:val="28"/>
        </w:rPr>
        <w:t>5. QUALITÉ, PRÉCISION ET PROPRIÉTÉ INTELLECTUELLE</w:t>
      </w:r>
    </w:p>
    <w:p>
      <w:pPr>
        <w:spacing w:before="160" w:after="40"/>
      </w:pPr>
      <w:r>
        <w:rPr>
          <w:b/>
          <w:color w:val="1A5F9A"/>
          <w:sz w:val="23"/>
        </w:rPr>
        <w:t>Article 5.1 — Vérification avant diffusion</w:t>
      </w:r>
    </w:p>
    <w:p>
      <w:pPr>
        <w:spacing w:after="120"/>
        <w:ind w:left="283"/>
      </w:pPr>
      <w:r>
        <w:rPr>
          <w:sz w:val="22"/>
        </w:rPr>
        <w:t>Tout contenu généré par IA destiné à être communiqué à l'extérieur (clients, partenaires, administrations, médias) doit être relu et approuvé par un responsable habilité. Les erreurs factuelles introduites par l'IA restent de la responsabilité de celui qui a diffusé le document.</w:t>
      </w:r>
    </w:p>
    <w:p>
      <w:pPr>
        <w:spacing w:before="160" w:after="40"/>
      </w:pPr>
      <w:r>
        <w:rPr>
          <w:b/>
          <w:color w:val="1A5F9A"/>
          <w:sz w:val="23"/>
        </w:rPr>
        <w:t>Article 5.2 — Propriété intellectuelle des productions</w:t>
      </w:r>
    </w:p>
    <w:p>
      <w:pPr>
        <w:spacing w:after="120"/>
        <w:ind w:left="283"/>
      </w:pPr>
      <w:r>
        <w:rPr>
          <w:sz w:val="22"/>
        </w:rPr>
        <w:t>Les textes, analyses et documents produits par le salarié avec l'aide de l'IA dans le cadre de ses fonctions appartiennent à l'employeur conformément aux dispositions du Code du travail (articles L.1121-1 et suivants). Le salarié ne peut pas revendiquer de droits d'auteur personnels sur ces productions.</w:t>
      </w:r>
    </w:p>
    <w:p>
      <w:pPr>
        <w:spacing w:before="160" w:after="40"/>
      </w:pPr>
      <w:r>
        <w:rPr>
          <w:b/>
          <w:color w:val="1A5F9A"/>
          <w:sz w:val="23"/>
        </w:rPr>
        <w:t>Article 5.3 — Respect du droit d'auteur</w:t>
      </w:r>
    </w:p>
    <w:p>
      <w:pPr>
        <w:spacing w:after="120"/>
        <w:ind w:left="283"/>
      </w:pPr>
      <w:r>
        <w:rPr>
          <w:sz w:val="22"/>
        </w:rPr>
        <w:t>L'utilisation d'outils d'IA ne doit pas aboutir à la reproduction non autorisée d'œuvres protégées. Les textes générés ne doivent pas reproduire textuellement des contenus tiers sans autorisation. En cas de doute, consulter le service juridique.</w:t>
      </w:r>
    </w:p>
    <w:p>
      <w:pPr>
        <w:spacing w:before="160" w:after="40"/>
      </w:pPr>
      <w:r>
        <w:rPr>
          <w:b/>
          <w:color w:val="1A5F9A"/>
          <w:sz w:val="23"/>
        </w:rPr>
        <w:t>Article 5.4 — Mention de l'utilisation de l'IA</w:t>
      </w:r>
    </w:p>
    <w:p>
      <w:pPr>
        <w:spacing w:after="120"/>
        <w:ind w:left="283"/>
      </w:pPr>
      <w:r>
        <w:rPr>
          <w:sz w:val="22"/>
        </w:rPr>
        <w:t>Pour les travaux académiques, certifications ou formations, la réglementation de l'organisme compétent en matière d'utilisation de l'IA doit être respectée. Le salarié en formation est responsable de vérifier les règles applicables à chaque évaluation.</w:t>
      </w:r>
    </w:p>
    <w:p>
      <w:pPr>
        <w:spacing w:before="280" w:after="120"/>
        <w:pBdr>
          <w:bottom w:val="single" w:sz="6" w:space="4" w:color="1A5F9A"/>
        </w:pBdr>
      </w:pPr>
      <w:r>
        <w:rPr>
          <w:b/>
          <w:color w:val="1A5F9A"/>
          <w:sz w:val="28"/>
        </w:rPr>
        <w:t>6. SÉCURITÉ INFORMATIQUE</w:t>
      </w:r>
    </w:p>
    <w:p>
      <w:pPr>
        <w:spacing w:before="160" w:after="40"/>
      </w:pPr>
      <w:r>
        <w:rPr>
          <w:b/>
          <w:color w:val="1A5F9A"/>
          <w:sz w:val="23"/>
        </w:rPr>
        <w:t>Article 6.1 — Outils autorisés</w:t>
      </w:r>
    </w:p>
    <w:p>
      <w:pPr>
        <w:spacing w:after="120"/>
        <w:ind w:left="283"/>
      </w:pPr>
      <w:r>
        <w:rPr>
          <w:sz w:val="22"/>
        </w:rPr>
        <w:t>Seuls les outils d'IA approuvés par la Direction des Systèmes d'Information (DSI) sont autorisés dans le cadre professionnel. L'installation d'outils d'IA non approuvés sur les postes de travail de l'entreprise est interdite sans autorisation préalable.</w:t>
      </w:r>
    </w:p>
    <w:p>
      <w:pPr>
        <w:spacing w:before="160" w:after="40"/>
      </w:pPr>
      <w:r>
        <w:rPr>
          <w:b/>
          <w:color w:val="1A5F9A"/>
          <w:sz w:val="23"/>
        </w:rPr>
        <w:t>Article 6.2 — Règles de sécurité applicables</w:t>
      </w:r>
    </w:p>
    <w:p>
      <w:pPr>
        <w:spacing w:after="120"/>
        <w:ind w:left="283"/>
      </w:pPr>
      <w:r>
        <w:rPr>
          <w:sz w:val="22"/>
        </w:rPr>
        <w:t>Les outils d'IA sont soumis aux mêmes règles de sécurité que les autres logiciels : ne pas partager ses accès, utiliser un réseau sécurisé, signaler tout comportement suspect au service informatique, ne pas désactiver les outils de sécurité du poste.</w:t>
      </w:r>
    </w:p>
    <w:p>
      <w:pPr>
        <w:spacing w:before="160" w:after="40"/>
      </w:pPr>
      <w:r>
        <w:rPr>
          <w:b/>
          <w:color w:val="1A5F9A"/>
          <w:sz w:val="23"/>
        </w:rPr>
        <w:t>Article 6.3 — Incidents de sécurité</w:t>
      </w:r>
    </w:p>
    <w:p>
      <w:pPr>
        <w:spacing w:after="120"/>
        <w:ind w:left="283"/>
      </w:pPr>
      <w:r>
        <w:rPr>
          <w:sz w:val="22"/>
        </w:rPr>
        <w:t>Tout incident impliquant un outil d'IA (fuite de données, comportement inattendu, résultat potentiellement préjudiciable) doit être signalé immédiatement au responsable hiérarchique et à la DSI conformément à la procédure de gestion des incidents.</w:t>
      </w:r>
    </w:p>
    <w:p>
      <w:pPr>
        <w:spacing w:before="160" w:after="40"/>
      </w:pPr>
      <w:r>
        <w:rPr>
          <w:b/>
          <w:color w:val="1A5F9A"/>
          <w:sz w:val="23"/>
        </w:rPr>
        <w:t>Article 6.4 — Spécificité de l'outil local (formation)</w:t>
      </w:r>
    </w:p>
    <w:p>
      <w:pPr>
        <w:spacing w:after="120"/>
        <w:ind w:left="283"/>
      </w:pPr>
      <w:r>
        <w:rPr>
          <w:sz w:val="22"/>
        </w:rPr>
        <w:t>L'outil Accomplish avec Ollama utilisé en formation fonctionne intégralement en local : aucune donnée n'est transmise à des serveurs externes. Cela garantit la confidentialité des travaux réalisés pendant la formation. Les stagiaires peuvent l'utiliser sans craindre de violation de la confidentialité des données de l'entreprise.</w:t>
      </w:r>
    </w:p>
    <w:p>
      <w:pPr>
        <w:spacing w:before="280" w:after="120"/>
        <w:pBdr>
          <w:bottom w:val="single" w:sz="6" w:space="4" w:color="1A5F9A"/>
        </w:pBdr>
      </w:pPr>
      <w:r>
        <w:rPr>
          <w:b/>
          <w:color w:val="1A5F9A"/>
          <w:sz w:val="28"/>
        </w:rPr>
        <w:t>7. DROITS ET OBLIGATIONS DES SALARIÉS</w:t>
      </w:r>
    </w:p>
    <w:p>
      <w:pPr>
        <w:spacing w:before="200" w:after="80"/>
      </w:pPr>
      <w:r>
        <w:rPr>
          <w:b/>
          <w:color w:val="1A5F9A"/>
          <w:sz w:val="24"/>
        </w:rPr>
        <w:t>7.1 Droits du salarié</w:t>
      </w:r>
    </w:p>
    <w:p>
      <w:pPr>
        <w:pStyle w:val="ListBullet"/>
        <w:spacing w:after="60"/>
      </w:pPr>
      <w:r>
        <w:rPr>
          <w:sz w:val="22"/>
        </w:rPr>
        <w:t>Droit d'être informé des outils d'IA utilisés dans son environnement de travail</w:t>
      </w:r>
    </w:p>
    <w:p>
      <w:pPr>
        <w:pStyle w:val="ListBullet"/>
        <w:spacing w:after="60"/>
      </w:pPr>
      <w:r>
        <w:rPr>
          <w:sz w:val="22"/>
        </w:rPr>
        <w:t>Droit de ne pas être soumis à une décision entièrement automatisée ayant un effet significatif (Art. 22 RGPD)</w:t>
      </w:r>
    </w:p>
    <w:p>
      <w:pPr>
        <w:pStyle w:val="ListBullet"/>
        <w:spacing w:after="60"/>
      </w:pPr>
      <w:r>
        <w:rPr>
          <w:sz w:val="22"/>
        </w:rPr>
        <w:t>Droit de refuser l'utilisation d'un outil d'IA pour des tâches contraires à ses convictions éthiques professionnelles, sous réserve de justification</w:t>
      </w:r>
    </w:p>
    <w:p>
      <w:pPr>
        <w:pStyle w:val="ListBullet"/>
        <w:spacing w:after="60"/>
      </w:pPr>
      <w:r>
        <w:rPr>
          <w:sz w:val="22"/>
        </w:rPr>
        <w:t>Droit à la formation pour utiliser les outils d'IA mis à disposition</w:t>
      </w:r>
    </w:p>
    <w:p>
      <w:pPr>
        <w:pStyle w:val="ListBullet"/>
        <w:spacing w:after="60"/>
      </w:pPr>
      <w:r>
        <w:rPr>
          <w:sz w:val="22"/>
        </w:rPr>
        <w:t>Droit de signaler toute dérive ou utilisation contraire à cette politique sans crainte de représailles</w:t>
      </w:r>
    </w:p>
    <w:p>
      <w:pPr>
        <w:spacing w:before="200" w:after="80"/>
      </w:pPr>
      <w:r>
        <w:rPr>
          <w:b/>
          <w:color w:val="1A5F9A"/>
          <w:sz w:val="24"/>
        </w:rPr>
        <w:t>7.2 Obligations du salarié</w:t>
      </w:r>
    </w:p>
    <w:p>
      <w:pPr>
        <w:pStyle w:val="ListBullet"/>
        <w:spacing w:after="60"/>
      </w:pPr>
      <w:r>
        <w:rPr>
          <w:sz w:val="22"/>
        </w:rPr>
        <w:t>Utiliser les outils d'IA conformément à la présente politique et aux instructions de la DSI</w:t>
      </w:r>
    </w:p>
    <w:p>
      <w:pPr>
        <w:pStyle w:val="ListBullet"/>
        <w:spacing w:after="60"/>
      </w:pPr>
      <w:r>
        <w:rPr>
          <w:sz w:val="22"/>
        </w:rPr>
        <w:t>Vérifier systématiquement les productions de l'IA avant diffusion ou utilisation</w:t>
      </w:r>
    </w:p>
    <w:p>
      <w:pPr>
        <w:pStyle w:val="ListBullet"/>
        <w:spacing w:after="60"/>
      </w:pPr>
      <w:r>
        <w:rPr>
          <w:sz w:val="22"/>
        </w:rPr>
        <w:t>Préserver la confidentialité des informations de l'entreprise, de ses clients et partenaires</w:t>
      </w:r>
    </w:p>
    <w:p>
      <w:pPr>
        <w:pStyle w:val="ListBullet"/>
        <w:spacing w:after="60"/>
      </w:pPr>
      <w:r>
        <w:rPr>
          <w:sz w:val="22"/>
        </w:rPr>
        <w:t>Signaler tout incident ou comportement anormal d'un outil d'IA</w:t>
      </w:r>
    </w:p>
    <w:p>
      <w:pPr>
        <w:pStyle w:val="ListBullet"/>
        <w:spacing w:after="60"/>
      </w:pPr>
      <w:r>
        <w:rPr>
          <w:sz w:val="22"/>
        </w:rPr>
        <w:t>Participer aux formations proposées sur l'utilisation responsable de l'IA</w:t>
      </w:r>
    </w:p>
    <w:p>
      <w:pPr>
        <w:pStyle w:val="ListBullet"/>
        <w:spacing w:after="60"/>
      </w:pPr>
      <w:r>
        <w:rPr>
          <w:sz w:val="22"/>
        </w:rPr>
        <w:t>Ne pas contourner les mesures de sécurité et les outils de contrôle en place</w:t>
      </w:r>
    </w:p>
    <w:p>
      <w:pPr>
        <w:spacing w:before="280" w:after="120"/>
        <w:pBdr>
          <w:bottom w:val="single" w:sz="6" w:space="4" w:color="C02020"/>
        </w:pBdr>
      </w:pPr>
      <w:r>
        <w:rPr>
          <w:b/>
          <w:color w:val="C02020"/>
          <w:sz w:val="28"/>
        </w:rPr>
        <w:t>8. SANCTIONS ET MESURES DISCIPLINAIRES</w:t>
      </w:r>
    </w:p>
    <w:p>
      <w:pPr>
        <w:spacing w:before="160" w:after="40"/>
      </w:pPr>
      <w:r>
        <w:rPr>
          <w:b/>
          <w:color w:val="1A5F9A"/>
          <w:sz w:val="23"/>
        </w:rPr>
        <w:t>Article 8.1 — Principe de proportionnalité</w:t>
      </w:r>
    </w:p>
    <w:p>
      <w:pPr>
        <w:spacing w:after="120"/>
        <w:ind w:left="283"/>
      </w:pPr>
      <w:r>
        <w:rPr>
          <w:sz w:val="22"/>
        </w:rPr>
        <w:t>Tout manquement à la présente politique est susceptible de donner lieu à des mesures disciplinaires proportionnelles à la gravité du manquement, conformément au règlement intérieur de l'entreprise et aux dispositions du Code du travail.</w:t>
      </w:r>
    </w:p>
    <w:p>
      <w:pPr>
        <w:spacing w:before="160" w:after="40"/>
      </w:pPr>
      <w:r>
        <w:rPr>
          <w:b/>
          <w:color w:val="1A5F9A"/>
          <w:sz w:val="23"/>
        </w:rPr>
        <w:t>Article 8.2 — Gradation des sanctions</w:t>
      </w:r>
    </w:p>
    <w:p>
      <w:pPr>
        <w:spacing w:after="120"/>
        <w:ind w:left="283"/>
      </w:pPr>
      <w:r>
        <w:rPr>
          <w:sz w:val="22"/>
        </w:rPr>
        <w:t>Selon la gravité : avertissement écrit (premier manquement mineur), mise à pied disciplinaire (manquement grave ou récidive), licenciement pour faute grave (violation délibérée entraînant un préjudice pour l'entreprise, les clients ou les tiers). Les manquements pouvant constituer une infraction pénale (fraude, violation RGPD intentionnelle) sont susceptibles de donner lieu à des poursuites judiciaires.</w:t>
      </w:r>
    </w:p>
    <w:p>
      <w:pPr>
        <w:spacing w:before="280" w:after="120"/>
        <w:pBdr>
          <w:bottom w:val="single" w:sz="6" w:space="4" w:color="1A5F9A"/>
        </w:pBdr>
      </w:pPr>
      <w:r>
        <w:rPr>
          <w:b/>
          <w:color w:val="1A5F9A"/>
          <w:sz w:val="28"/>
        </w:rPr>
        <w:t>9. ENTRÉE EN VIGUEUR, RÉVISION ET CONTACTS</w:t>
      </w:r>
    </w:p>
    <w:p>
      <w:pPr>
        <w:spacing w:before="160" w:after="40"/>
      </w:pPr>
      <w:r>
        <w:rPr>
          <w:b/>
          <w:color w:val="1A5F9A"/>
          <w:sz w:val="23"/>
        </w:rPr>
        <w:t>Article 9.1 — Entrée en vigueur</w:t>
      </w:r>
    </w:p>
    <w:p>
      <w:pPr>
        <w:spacing w:after="120"/>
        <w:ind w:left="283"/>
      </w:pPr>
      <w:r>
        <w:rPr>
          <w:sz w:val="22"/>
        </w:rPr>
        <w:t>La présente politique entre en vigueur à compter de sa date de signature par la Direction. Elle est portée à la connaissance de l'ensemble des salariés par voie d'affichage et remise lors des formations internes à l'IA.</w:t>
      </w:r>
    </w:p>
    <w:p>
      <w:pPr>
        <w:spacing w:before="160" w:after="40"/>
      </w:pPr>
      <w:r>
        <w:rPr>
          <w:b/>
          <w:color w:val="1A5F9A"/>
          <w:sz w:val="23"/>
        </w:rPr>
        <w:t>Article 9.2 — Révision</w:t>
      </w:r>
    </w:p>
    <w:p>
      <w:pPr>
        <w:spacing w:after="120"/>
        <w:ind w:left="283"/>
      </w:pPr>
      <w:r>
        <w:rPr>
          <w:sz w:val="22"/>
        </w:rPr>
        <w:t>Cette politique est révisée au minimum une fois par an ou à l'occasion de toute évolution législative ou réglementaire significative. La version en vigueur est disponible auprès du service RH et de la DSI.</w:t>
      </w:r>
    </w:p>
    <w:p>
      <w:pPr>
        <w:spacing w:before="160" w:after="40"/>
      </w:pPr>
      <w:r>
        <w:rPr>
          <w:b/>
          <w:color w:val="1A5F9A"/>
          <w:sz w:val="23"/>
        </w:rPr>
        <w:t>Article 9.3 — Contacts et questions</w:t>
      </w:r>
    </w:p>
    <w:p>
      <w:pPr>
        <w:spacing w:after="120"/>
        <w:ind w:left="283"/>
      </w:pPr>
      <w:r>
        <w:rPr>
          <w:sz w:val="22"/>
        </w:rPr>
        <w:t>Pour toute question relative à l'application de cette politique :</w:t>
        <w:br/>
        <w:t>• Questions RGPD / données personnelles : DPO ou service juridique</w:t>
        <w:br/>
        <w:t>• Questions techniques / outils autorisés : DSI</w:t>
        <w:br/>
        <w:t>• Questions RH / disciplinaires : Service des Ressources Humaines</w:t>
        <w:br/>
        <w:t>• Signalement d'incident : responsable hiérarchique + DSI</w:t>
      </w:r>
    </w:p>
    <w:p>
      <w:r>
        <w:br w:type="page"/>
      </w:r>
    </w:p>
    <w:p>
      <w:pPr>
        <w:spacing w:before="280" w:after="120"/>
        <w:pBdr>
          <w:bottom w:val="single" w:sz="6" w:space="4" w:color="1A5F9A"/>
        </w:pBdr>
      </w:pPr>
      <w:r>
        <w:rPr>
          <w:b/>
          <w:color w:val="1A5F9A"/>
          <w:sz w:val="28"/>
        </w:rPr>
        <w:t>ATTESTATION DE PRISE DE CONNAISSANCE</w:t>
      </w:r>
    </w:p>
    <w:p>
      <w:pPr>
        <w:spacing w:after="100"/>
      </w:pPr>
      <w:r>
        <w:rPr>
          <w:sz w:val="22"/>
        </w:rPr>
        <w:t>Je soussigné(e), déclare avoir pris connaissance de la Politique d'Utilisation Acceptable de l'Intelligence Artificielle (référence POL-IA-001) et m'engage à respecter ses dispositions dans le cadre de mon activité professionnelle.</w:t>
      </w:r>
    </w:p>
    <w:p/>
    <w:tbl>
      <w:tblPr>
        <w:tblStyle w:val="TableGrid"/>
        <w:tblW w:type="auto" w:w="0"/>
        <w:tblLook w:firstColumn="1" w:firstRow="1" w:lastColumn="0" w:lastRow="0" w:noHBand="0" w:noVBand="1" w:val="04A0"/>
      </w:tblPr>
      <w:tblGrid>
        <w:gridCol w:w="4536"/>
        <w:gridCol w:w="4536"/>
      </w:tblGrid>
      <w:tr>
        <w:tc>
          <w:tcPr>
            <w:tcW w:type="dxa" w:w="4252"/>
            <w:shd w:fill="F5F5F5" w:val="clear"/>
          </w:tcPr>
          <w:p>
            <w:pPr>
              <w:ind w:left="170"/>
            </w:pPr>
            <w:r>
              <w:rPr>
                <w:b/>
                <w:sz w:val="21"/>
              </w:rPr>
              <w:t xml:space="preserve">Nom et Prénom : </w:t>
              <w:br/>
            </w:r>
            <w:r>
              <w:rPr>
                <w:sz w:val="22"/>
              </w:rPr>
              <w:br/>
              <w:br/>
              <w:br/>
            </w:r>
          </w:p>
        </w:tc>
        <w:tc>
          <w:tcPr>
            <w:tcW w:type="dxa" w:w="4252"/>
            <w:shd w:fill="F5F5F5" w:val="clear"/>
          </w:tcPr>
          <w:p>
            <w:pPr>
              <w:ind w:left="170"/>
            </w:pPr>
            <w:r>
              <w:rPr>
                <w:b/>
                <w:sz w:val="21"/>
              </w:rPr>
              <w:t xml:space="preserve">Service / Poste : </w:t>
              <w:br/>
            </w:r>
            <w:r>
              <w:rPr>
                <w:sz w:val="22"/>
              </w:rPr>
              <w:br/>
              <w:br/>
              <w:br/>
            </w:r>
          </w:p>
        </w:tc>
      </w:tr>
    </w:tbl>
    <w:p/>
    <w:tbl>
      <w:tblPr>
        <w:tblStyle w:val="TableGrid"/>
        <w:tblW w:type="auto" w:w="0"/>
        <w:tblLook w:firstColumn="1" w:firstRow="1" w:lastColumn="0" w:lastRow="0" w:noHBand="0" w:noVBand="1" w:val="04A0"/>
      </w:tblPr>
      <w:tblGrid>
        <w:gridCol w:w="4536"/>
        <w:gridCol w:w="4536"/>
      </w:tblGrid>
      <w:tr>
        <w:tc>
          <w:tcPr>
            <w:tcW w:type="dxa" w:w="4252"/>
            <w:shd w:fill="F5F5F5" w:val="clear"/>
          </w:tcPr>
          <w:p>
            <w:pPr>
              <w:ind w:left="170"/>
            </w:pPr>
            <w:r>
              <w:rPr>
                <w:b/>
                <w:sz w:val="21"/>
              </w:rPr>
              <w:t xml:space="preserve">Date : </w:t>
              <w:br/>
            </w:r>
            <w:r>
              <w:rPr>
                <w:sz w:val="22"/>
              </w:rPr>
              <w:br/>
              <w:br/>
              <w:br/>
            </w:r>
          </w:p>
        </w:tc>
        <w:tc>
          <w:tcPr>
            <w:tcW w:type="dxa" w:w="4252"/>
            <w:shd w:fill="F5F5F5" w:val="clear"/>
          </w:tcPr>
          <w:p>
            <w:pPr>
              <w:ind w:left="170"/>
            </w:pPr>
            <w:r>
              <w:rPr>
                <w:b/>
                <w:sz w:val="21"/>
              </w:rPr>
              <w:t xml:space="preserve">Signature : </w:t>
              <w:br/>
            </w:r>
            <w:r>
              <w:rPr>
                <w:sz w:val="22"/>
              </w:rPr>
              <w:br/>
              <w:br/>
              <w:br/>
            </w:r>
          </w:p>
        </w:tc>
      </w:tr>
    </w:tbl>
    <w:p/>
    <w:tbl>
      <w:tblPr>
        <w:tblW w:type="auto" w:w="0"/>
        <w:tblLook w:firstColumn="1" w:firstRow="1" w:lastColumn="0" w:lastRow="0" w:noHBand="0" w:noVBand="1" w:val="04A0"/>
      </w:tblPr>
      <w:tblGrid>
        <w:gridCol w:w="9072"/>
      </w:tblGrid>
      <w:tr>
        <w:tc>
          <w:tcPr>
            <w:tcW w:type="dxa" w:w="9072"/>
            <w:shd w:fill="E3F2FD" w:val="clear"/>
          </w:tcPr>
          <w:p>
            <w:pPr>
              <w:spacing w:before="100" w:after="100"/>
              <w:ind w:left="227"/>
            </w:pPr>
            <w:r>
              <w:rPr>
                <w:b/>
                <w:sz w:val="22"/>
              </w:rPr>
              <w:t xml:space="preserve">ℹ️  NOTE : </w:t>
            </w:r>
            <w:r>
              <w:rPr>
                <w:sz w:val="22"/>
              </w:rPr>
              <w:t>Ce document doit être signé par le stagiaire/salarié et remis au service RH. Une copie lui est remise pour information. La signature vaut acceptation des règles définies. Ce document est à conserver dans le dossier personnel pendant toute la durée de la relation de travail.</w:t>
            </w:r>
          </w:p>
        </w:tc>
      </w:tr>
    </w:tbl>
    <w:p>
      <w:pPr>
        <w:spacing w:after="60"/>
      </w:pPr>
    </w:p>
    <w:p>
      <w:r>
        <w:br w:type="page"/>
      </w:r>
    </w:p>
    <w:p>
      <w:pPr>
        <w:jc w:val="center"/>
      </w:pPr>
      <w:r>
        <w:rPr>
          <w:b/>
          <w:color w:val="1A5F9A"/>
          <w:sz w:val="28"/>
        </w:rPr>
        <w:t>ANNEXE A — GUIDE RAPIDE À AFFICHER</w:t>
      </w:r>
    </w:p>
    <w:p>
      <w:pPr>
        <w:jc w:val="center"/>
      </w:pPr>
      <w:r>
        <w:rPr>
          <w:i/>
          <w:color w:val="555555"/>
          <w:sz w:val="20"/>
        </w:rPr>
        <w:t>Imprimer et afficher près de votre poste de travail</w:t>
      </w:r>
    </w:p>
    <w:p/>
    <w:tbl>
      <w:tblPr>
        <w:tblW w:type="auto" w:w="0"/>
        <w:tblLook w:firstColumn="1" w:firstRow="1" w:lastColumn="0" w:lastRow="0" w:noHBand="0" w:noVBand="1" w:val="04A0"/>
      </w:tblPr>
      <w:tblGrid>
        <w:gridCol w:w="9072"/>
      </w:tblGrid>
      <w:tr>
        <w:tc>
          <w:tcPr>
            <w:tcW w:type="dxa" w:w="9072"/>
            <w:shd w:fill="1A5F9A" w:val="clear"/>
          </w:tcPr>
          <w:p>
            <w:pPr>
              <w:jc w:val="center"/>
            </w:pPr>
            <w:r>
              <w:rPr>
                <w:b/>
                <w:color w:val="FFFFFF"/>
                <w:sz w:val="28"/>
              </w:rPr>
              <w:t>🤖  AVANT D'UTILISER L'IA — MES 5 QUESTIONS</w:t>
            </w:r>
          </w:p>
        </w:tc>
      </w:tr>
    </w:tbl>
    <w:tbl>
      <w:tblPr>
        <w:tblStyle w:val="TableGrid"/>
        <w:tblW w:type="auto" w:w="0"/>
        <w:tblLook w:firstColumn="1" w:firstRow="1" w:lastColumn="0" w:lastRow="0" w:noHBand="0" w:noVBand="1" w:val="04A0"/>
      </w:tblPr>
      <w:tblGrid>
        <w:gridCol w:w="4536"/>
        <w:gridCol w:w="4536"/>
      </w:tblGrid>
      <w:tr>
        <w:tc>
          <w:tcPr>
            <w:tcW w:type="dxa" w:w="680"/>
            <w:shd w:fill="E3F2FD" w:val="clear"/>
          </w:tcPr>
          <w:p>
            <w:pPr>
              <w:jc w:val="center"/>
            </w:pPr>
            <w:r>
              <w:rPr>
                <w:b/>
                <w:sz w:val="28"/>
              </w:rPr>
              <w:t>❓</w:t>
              <w:br/>
              <w:t>1</w:t>
            </w:r>
          </w:p>
        </w:tc>
        <w:tc>
          <w:tcPr>
            <w:tcW w:type="dxa" w:w="8107"/>
          </w:tcPr>
          <w:p>
            <w:pPr>
              <w:ind w:left="170"/>
            </w:pPr>
            <w:r>
              <w:rPr>
                <w:b/>
                <w:sz w:val="22"/>
              </w:rPr>
              <w:t>Est-ce que je vais saisir des données personnelles ou confidentielles ?</w:t>
              <w:br/>
            </w:r>
            <w:r>
              <w:rPr>
                <w:color w:val="555555"/>
                <w:sz w:val="21"/>
              </w:rPr>
              <w:t>→ Si OUI → utiliser UNIQUEMENT l'outil local (Ollama) ou anonymiser les données</w:t>
            </w:r>
          </w:p>
        </w:tc>
      </w:tr>
    </w:tbl>
    <w:p>
      <w:pPr>
        <w:spacing w:after="20"/>
      </w:pPr>
    </w:p>
    <w:tbl>
      <w:tblPr>
        <w:tblStyle w:val="TableGrid"/>
        <w:tblW w:type="auto" w:w="0"/>
        <w:tblLook w:firstColumn="1" w:firstRow="1" w:lastColumn="0" w:lastRow="0" w:noHBand="0" w:noVBand="1" w:val="04A0"/>
      </w:tblPr>
      <w:tblGrid>
        <w:gridCol w:w="4536"/>
        <w:gridCol w:w="4536"/>
      </w:tblGrid>
      <w:tr>
        <w:tc>
          <w:tcPr>
            <w:tcW w:type="dxa" w:w="680"/>
            <w:shd w:fill="E3F2FD" w:val="clear"/>
          </w:tcPr>
          <w:p>
            <w:pPr>
              <w:jc w:val="center"/>
            </w:pPr>
            <w:r>
              <w:rPr>
                <w:b/>
                <w:sz w:val="28"/>
              </w:rPr>
              <w:t>🔍</w:t>
              <w:br/>
              <w:t>2</w:t>
            </w:r>
          </w:p>
        </w:tc>
        <w:tc>
          <w:tcPr>
            <w:tcW w:type="dxa" w:w="8107"/>
          </w:tcPr>
          <w:p>
            <w:pPr>
              <w:ind w:left="170"/>
            </w:pPr>
            <w:r>
              <w:rPr>
                <w:b/>
                <w:sz w:val="22"/>
              </w:rPr>
              <w:t>Est-ce que je vais vérifier les informations avant utilisation ?</w:t>
              <w:br/>
            </w:r>
            <w:r>
              <w:rPr>
                <w:color w:val="555555"/>
                <w:sz w:val="21"/>
              </w:rPr>
              <w:t>→ TOUJOURS vérifier les faits, chiffres, références légales et dates</w:t>
            </w:r>
          </w:p>
        </w:tc>
      </w:tr>
    </w:tbl>
    <w:p>
      <w:pPr>
        <w:spacing w:after="20"/>
      </w:pPr>
    </w:p>
    <w:tbl>
      <w:tblPr>
        <w:tblStyle w:val="TableGrid"/>
        <w:tblW w:type="auto" w:w="0"/>
        <w:tblLook w:firstColumn="1" w:firstRow="1" w:lastColumn="0" w:lastRow="0" w:noHBand="0" w:noVBand="1" w:val="04A0"/>
      </w:tblPr>
      <w:tblGrid>
        <w:gridCol w:w="4536"/>
        <w:gridCol w:w="4536"/>
      </w:tblGrid>
      <w:tr>
        <w:tc>
          <w:tcPr>
            <w:tcW w:type="dxa" w:w="680"/>
            <w:shd w:fill="E3F2FD" w:val="clear"/>
          </w:tcPr>
          <w:p>
            <w:pPr>
              <w:jc w:val="center"/>
            </w:pPr>
            <w:r>
              <w:rPr>
                <w:b/>
                <w:sz w:val="28"/>
              </w:rPr>
              <w:t>✏️</w:t>
              <w:br/>
              <w:t>3</w:t>
            </w:r>
          </w:p>
        </w:tc>
        <w:tc>
          <w:tcPr>
            <w:tcW w:type="dxa" w:w="8107"/>
          </w:tcPr>
          <w:p>
            <w:pPr>
              <w:ind w:left="170"/>
            </w:pPr>
            <w:r>
              <w:rPr>
                <w:b/>
                <w:sz w:val="22"/>
              </w:rPr>
              <w:t>Est-ce que je vais relire et adapter le résultat ?</w:t>
              <w:br/>
            </w:r>
            <w:r>
              <w:rPr>
                <w:color w:val="555555"/>
                <w:sz w:val="21"/>
              </w:rPr>
              <w:t>→ Ne jamais envoyer un texte IA sans relecture et personnalisation</w:t>
            </w:r>
          </w:p>
        </w:tc>
      </w:tr>
    </w:tbl>
    <w:p>
      <w:pPr>
        <w:spacing w:after="20"/>
      </w:pPr>
    </w:p>
    <w:tbl>
      <w:tblPr>
        <w:tblStyle w:val="TableGrid"/>
        <w:tblW w:type="auto" w:w="0"/>
        <w:tblLook w:firstColumn="1" w:firstRow="1" w:lastColumn="0" w:lastRow="0" w:noHBand="0" w:noVBand="1" w:val="04A0"/>
      </w:tblPr>
      <w:tblGrid>
        <w:gridCol w:w="4536"/>
        <w:gridCol w:w="4536"/>
      </w:tblGrid>
      <w:tr>
        <w:tc>
          <w:tcPr>
            <w:tcW w:type="dxa" w:w="680"/>
            <w:shd w:fill="E3F2FD" w:val="clear"/>
          </w:tcPr>
          <w:p>
            <w:pPr>
              <w:jc w:val="center"/>
            </w:pPr>
            <w:r>
              <w:rPr>
                <w:b/>
                <w:sz w:val="28"/>
              </w:rPr>
              <w:t>⚠️</w:t>
              <w:br/>
              <w:t>4</w:t>
            </w:r>
          </w:p>
        </w:tc>
        <w:tc>
          <w:tcPr>
            <w:tcW w:type="dxa" w:w="8107"/>
          </w:tcPr>
          <w:p>
            <w:pPr>
              <w:ind w:left="170"/>
            </w:pPr>
            <w:r>
              <w:rPr>
                <w:b/>
                <w:sz w:val="22"/>
              </w:rPr>
              <w:t>Est-ce que l'IA peut se tromper sur ce sujet ?</w:t>
              <w:br/>
            </w:r>
            <w:r>
              <w:rPr>
                <w:color w:val="555555"/>
                <w:sz w:val="21"/>
              </w:rPr>
              <w:t>→ OUI, toujours. Elle peut halluciner. Restez critique.</w:t>
            </w:r>
          </w:p>
        </w:tc>
      </w:tr>
    </w:tbl>
    <w:p>
      <w:pPr>
        <w:spacing w:after="20"/>
      </w:pPr>
    </w:p>
    <w:tbl>
      <w:tblPr>
        <w:tblStyle w:val="TableGrid"/>
        <w:tblW w:type="auto" w:w="0"/>
        <w:tblLook w:firstColumn="1" w:firstRow="1" w:lastColumn="0" w:lastRow="0" w:noHBand="0" w:noVBand="1" w:val="04A0"/>
      </w:tblPr>
      <w:tblGrid>
        <w:gridCol w:w="4536"/>
        <w:gridCol w:w="4536"/>
      </w:tblGrid>
      <w:tr>
        <w:tc>
          <w:tcPr>
            <w:tcW w:type="dxa" w:w="680"/>
            <w:shd w:fill="E3F2FD" w:val="clear"/>
          </w:tcPr>
          <w:p>
            <w:pPr>
              <w:jc w:val="center"/>
            </w:pPr>
            <w:r>
              <w:rPr>
                <w:b/>
                <w:sz w:val="28"/>
              </w:rPr>
              <w:t>📋</w:t>
              <w:br/>
              <w:t>5</w:t>
            </w:r>
          </w:p>
        </w:tc>
        <w:tc>
          <w:tcPr>
            <w:tcW w:type="dxa" w:w="8107"/>
          </w:tcPr>
          <w:p>
            <w:pPr>
              <w:ind w:left="170"/>
            </w:pPr>
            <w:r>
              <w:rPr>
                <w:b/>
                <w:sz w:val="22"/>
              </w:rPr>
              <w:t>Suis-je responsable du résultat final ?</w:t>
              <w:br/>
            </w:r>
            <w:r>
              <w:rPr>
                <w:color w:val="555555"/>
                <w:sz w:val="21"/>
              </w:rPr>
              <w:t>→ OUI. L'IA est un outil, vous êtes l'auteur responsable.</w:t>
            </w:r>
          </w:p>
        </w:tc>
      </w:tr>
    </w:tbl>
    <w:p>
      <w:pPr>
        <w:spacing w:after="20"/>
      </w:pPr>
    </w:p>
    <w:p/>
    <w:tbl>
      <w:tblPr>
        <w:tblW w:type="auto" w:w="0"/>
        <w:tblLook w:firstColumn="1" w:firstRow="1" w:lastColumn="0" w:lastRow="0" w:noHBand="0" w:noVBand="1" w:val="04A0"/>
      </w:tblPr>
      <w:tblGrid>
        <w:gridCol w:w="9072"/>
      </w:tblGrid>
      <w:tr>
        <w:tc>
          <w:tcPr>
            <w:tcW w:type="dxa" w:w="9072"/>
            <w:shd w:fill="2E8648" w:val="clear"/>
          </w:tcPr>
          <w:p>
            <w:pPr>
              <w:jc w:val="center"/>
            </w:pPr>
            <w:r>
              <w:rPr>
                <w:b/>
                <w:color w:val="FFFFFF"/>
                <w:sz w:val="24"/>
              </w:rPr>
              <w:t>L'IA est votre assistant — pas votre remplaçant. Vous restez maître de vos décisions.</w:t>
            </w:r>
          </w:p>
        </w:tc>
      </w:tr>
    </w:tbl>
    <w:p>
      <w:pPr>
        <w:spacing w:before="400"/>
        <w:jc w:val="center"/>
      </w:pPr>
      <w:r>
        <w:rPr>
          <w:i/>
          <w:color w:val="555555"/>
          <w:sz w:val="18"/>
        </w:rPr>
        <w:t>Document officiel — POL-IA-001 v1.0 — Avril 2026  |  Confidentiel interne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