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4C01A" w14:textId="3455970D" w:rsidR="006E2388" w:rsidRPr="006C1576" w:rsidRDefault="008A3CC7" w:rsidP="008B63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576">
        <w:rPr>
          <w:rFonts w:ascii="Times New Roman" w:hAnsi="Times New Roman" w:cs="Times New Roman"/>
          <w:b/>
          <w:sz w:val="24"/>
          <w:szCs w:val="24"/>
        </w:rPr>
        <w:t>ХЕДЖИРОВАНИЕ</w:t>
      </w:r>
      <w:r w:rsidR="008B63D2" w:rsidRPr="006C1576">
        <w:rPr>
          <w:rFonts w:ascii="Times New Roman" w:hAnsi="Times New Roman" w:cs="Times New Roman"/>
          <w:b/>
          <w:sz w:val="24"/>
          <w:szCs w:val="24"/>
        </w:rPr>
        <w:t xml:space="preserve"> ПОРТФЕЛ</w:t>
      </w:r>
      <w:r w:rsidRPr="006C1576">
        <w:rPr>
          <w:rFonts w:ascii="Times New Roman" w:hAnsi="Times New Roman" w:cs="Times New Roman"/>
          <w:b/>
          <w:sz w:val="24"/>
          <w:szCs w:val="24"/>
        </w:rPr>
        <w:t>Я</w:t>
      </w:r>
      <w:r w:rsidR="008B63D2" w:rsidRPr="006C1576">
        <w:rPr>
          <w:rFonts w:ascii="Times New Roman" w:hAnsi="Times New Roman" w:cs="Times New Roman"/>
          <w:b/>
          <w:sz w:val="24"/>
          <w:szCs w:val="24"/>
        </w:rPr>
        <w:t xml:space="preserve"> ПРОЦЕНТНЫХ АКТИВОВ И ПАССИВОВ БАНКА</w:t>
      </w:r>
    </w:p>
    <w:p w14:paraId="6B7A9AC8" w14:textId="77777777" w:rsidR="008B63D2" w:rsidRPr="006C1576" w:rsidRDefault="008B63D2" w:rsidP="008B63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0B007" w14:textId="53D26704" w:rsidR="008A3CC7" w:rsidRPr="006C1576" w:rsidRDefault="00671039" w:rsidP="00ED5A5E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C1576">
        <w:rPr>
          <w:rFonts w:ascii="Times New Roman" w:hAnsi="Times New Roman" w:cs="Times New Roman"/>
          <w:b/>
          <w:color w:val="auto"/>
          <w:sz w:val="24"/>
          <w:szCs w:val="24"/>
        </w:rPr>
        <w:t>Формирование начального портфеля</w:t>
      </w:r>
    </w:p>
    <w:p w14:paraId="76A22A94" w14:textId="77777777" w:rsidR="008A3CC7" w:rsidRPr="006C1576" w:rsidRDefault="008A3CC7" w:rsidP="008A3CC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E30810" w14:textId="3C02F506" w:rsidR="00EE794D" w:rsidRPr="006C1576" w:rsidRDefault="008A3CC7" w:rsidP="006C0BBD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hAnsi="Times New Roman" w:cs="Times New Roman"/>
          <w:sz w:val="24"/>
          <w:szCs w:val="24"/>
        </w:rPr>
        <w:t xml:space="preserve">Объектом </w:t>
      </w:r>
      <w:r w:rsidR="005F2D98" w:rsidRPr="006C1576">
        <w:rPr>
          <w:rFonts w:ascii="Times New Roman" w:hAnsi="Times New Roman" w:cs="Times New Roman"/>
          <w:sz w:val="24"/>
          <w:szCs w:val="24"/>
        </w:rPr>
        <w:t>хеджирования</w:t>
      </w:r>
      <w:r w:rsidRPr="006C1576">
        <w:rPr>
          <w:rFonts w:ascii="Times New Roman" w:hAnsi="Times New Roman" w:cs="Times New Roman"/>
          <w:sz w:val="24"/>
          <w:szCs w:val="24"/>
        </w:rPr>
        <w:t xml:space="preserve"> является портфель кредитов и депозитов коммерческого банка.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2B56F6" w:rsidRPr="006C1576">
        <w:rPr>
          <w:rFonts w:ascii="Times New Roman" w:eastAsiaTheme="minorEastAsia" w:hAnsi="Times New Roman" w:cs="Times New Roman"/>
          <w:sz w:val="24"/>
          <w:szCs w:val="24"/>
        </w:rPr>
        <w:t>число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кредитов,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2B56F6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число </w:t>
      </w:r>
      <w:r w:rsidR="00A1233C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депозитов. </w:t>
      </w:r>
      <w:r w:rsidR="00BF1FD3" w:rsidRPr="006C1576">
        <w:rPr>
          <w:rFonts w:ascii="Times New Roman" w:eastAsiaTheme="minorEastAsia" w:hAnsi="Times New Roman" w:cs="Times New Roman"/>
          <w:sz w:val="24"/>
          <w:szCs w:val="24"/>
        </w:rPr>
        <w:t>Сумм</w:t>
      </w:r>
      <w:r w:rsidR="00CD2AC2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BF1FD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7B51" w:rsidRPr="006C1576">
        <w:rPr>
          <w:rFonts w:ascii="Times New Roman" w:eastAsiaTheme="minorEastAsia" w:hAnsi="Times New Roman" w:cs="Times New Roman"/>
          <w:sz w:val="24"/>
          <w:szCs w:val="24"/>
        </w:rPr>
        <w:t>объемов</w:t>
      </w:r>
      <w:r w:rsidR="003C56A7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476A">
        <w:rPr>
          <w:rFonts w:ascii="Times New Roman" w:eastAsiaTheme="minorEastAsia" w:hAnsi="Times New Roman" w:cs="Times New Roman"/>
          <w:sz w:val="24"/>
          <w:szCs w:val="24"/>
        </w:rPr>
        <w:t>кредитов и депозитов</w:t>
      </w:r>
      <w:r w:rsidR="00BF1FD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AC2">
        <w:rPr>
          <w:rFonts w:ascii="Times New Roman" w:eastAsiaTheme="minorEastAsia" w:hAnsi="Times New Roman" w:cs="Times New Roman"/>
          <w:sz w:val="24"/>
          <w:szCs w:val="24"/>
        </w:rPr>
        <w:t xml:space="preserve">одинаковы и составляют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BF1FD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D62C5E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При моделировании можно использовать значения </w:t>
      </w:r>
      <w:r w:rsidR="003C56A7" w:rsidRPr="006C1576">
        <w:rPr>
          <w:rFonts w:ascii="Times New Roman" w:eastAsiaTheme="minorEastAsia" w:hAnsi="Times New Roman" w:cs="Times New Roman"/>
          <w:sz w:val="24"/>
          <w:szCs w:val="24"/>
        </w:rPr>
        <w:t>введенных</w:t>
      </w:r>
      <w:r w:rsidR="00D62C5E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параметров из табл.1.</w:t>
      </w:r>
    </w:p>
    <w:p w14:paraId="4F1CB080" w14:textId="1497F619" w:rsidR="00756E63" w:rsidRPr="006C1576" w:rsidRDefault="00EE794D" w:rsidP="00C06CD9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Обозначим также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объем кредита с номером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объем депозита с номером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91020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333EE">
        <w:rPr>
          <w:rFonts w:ascii="Times New Roman" w:eastAsiaTheme="minorEastAsia" w:hAnsi="Times New Roman" w:cs="Times New Roman"/>
          <w:sz w:val="24"/>
          <w:szCs w:val="24"/>
        </w:rPr>
        <w:t>Д</w:t>
      </w:r>
      <w:r w:rsidR="0091020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олжно соблюдаться условие </w:t>
      </w:r>
    </w:p>
    <w:p w14:paraId="5346090F" w14:textId="77777777" w:rsidR="00756E63" w:rsidRPr="006C1576" w:rsidRDefault="00756E63" w:rsidP="006C0BBD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D6718C" w14:textId="66028BD2" w:rsidR="00756E63" w:rsidRPr="006C1576" w:rsidRDefault="006333EE" w:rsidP="006C1576">
      <w:pPr>
        <w:pStyle w:val="a3"/>
        <w:ind w:left="283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sub>
                </m:sSub>
              </m:e>
            </m:nary>
          </m:e>
        </m:nary>
      </m:oMath>
      <w:r w:rsidR="00170B6F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2612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56E63"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w:r w:rsidR="004F65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157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756E63" w:rsidRPr="006C1576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01A784E1" w14:textId="77777777" w:rsidR="00756E63" w:rsidRPr="006C1576" w:rsidRDefault="00756E63" w:rsidP="006C0BBD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82B9C2" w14:textId="37CF4E5C" w:rsidR="00756E63" w:rsidRPr="006C1576" w:rsidRDefault="00DF5C7F" w:rsidP="006C0BBD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Перед началом</w:t>
      </w:r>
      <w:r w:rsidR="00A1233C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020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моделирования </w:t>
      </w:r>
      <w:r w:rsidR="00416832" w:rsidRPr="006C1576">
        <w:rPr>
          <w:rFonts w:ascii="Times New Roman" w:eastAsiaTheme="minorEastAsia" w:hAnsi="Times New Roman" w:cs="Times New Roman"/>
          <w:sz w:val="24"/>
          <w:szCs w:val="24"/>
        </w:rPr>
        <w:t>величины</w:t>
      </w:r>
      <w:r w:rsidR="00756E6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756E6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sub>
        </m:sSub>
      </m:oMath>
      <w:r w:rsidR="00756E63" w:rsidRPr="006C157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C40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BE1CE6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выбираются случайным образом. Объемы </w:t>
      </w:r>
      <w:r w:rsidR="004C3391">
        <w:rPr>
          <w:rFonts w:ascii="Times New Roman" w:eastAsiaTheme="minorEastAsia" w:hAnsi="Times New Roman" w:cs="Times New Roman"/>
          <w:sz w:val="24"/>
          <w:szCs w:val="24"/>
        </w:rPr>
        <w:t xml:space="preserve">отдельных </w:t>
      </w:r>
      <w:r w:rsidR="00BE1CE6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кредитов и депозитов выбираются на основе случайных чисел, равномерно распределенных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BE1CE6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57FFA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=1,…,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</m:oMath>
      <w:r w:rsidR="00057FFA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выборка значений таких чисел. </w:t>
      </w:r>
      <w:r w:rsidR="00D03508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</w:p>
    <w:p w14:paraId="2EAE48C7" w14:textId="77777777" w:rsidR="00D03508" w:rsidRPr="006C1576" w:rsidRDefault="00D03508" w:rsidP="006C0BBD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8C145C" w14:textId="7DAF25CE" w:rsidR="00D03508" w:rsidRPr="006C1576" w:rsidRDefault="004C3391" w:rsidP="006C1576">
      <w:pPr>
        <w:pStyle w:val="a3"/>
        <w:ind w:left="2832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ζ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ζ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nary>
          </m:den>
        </m:f>
      </m:oMath>
      <w:r w:rsidR="00D03508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D03508"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03508"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="00D03508"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="00D03508"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w:r w:rsidR="00BE19D6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D03508" w:rsidRPr="006C1576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14:paraId="7B5A0F65" w14:textId="1E7DE365" w:rsidR="00A87192" w:rsidRPr="006C1576" w:rsidRDefault="00B73C9B" w:rsidP="0052413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hAnsi="Times New Roman" w:cs="Times New Roman"/>
          <w:sz w:val="24"/>
          <w:szCs w:val="24"/>
        </w:rPr>
        <w:t xml:space="preserve">Аналогично осуществляется выбор значений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279F6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896B49" w14:textId="77777777" w:rsidR="00524132" w:rsidRPr="006C1576" w:rsidRDefault="00524132" w:rsidP="0052413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1AFE26" w14:textId="6DED3BC4" w:rsidR="00573ED7" w:rsidRDefault="00573ED7" w:rsidP="00A03BBC">
      <w:pPr>
        <w:spacing w:after="0" w:line="240" w:lineRule="auto"/>
        <w:ind w:right="1558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>Таблица 1</w:t>
      </w:r>
    </w:p>
    <w:p w14:paraId="411AC3EA" w14:textId="61F4A827" w:rsidR="00824DB8" w:rsidRPr="006C1576" w:rsidRDefault="00824DB8" w:rsidP="00824DB8">
      <w:pPr>
        <w:spacing w:after="0" w:line="240" w:lineRule="auto"/>
        <w:ind w:right="155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Параметры портфеля кредитов и депозитов</w:t>
      </w:r>
    </w:p>
    <w:tbl>
      <w:tblPr>
        <w:tblStyle w:val="ac"/>
        <w:tblW w:w="6663" w:type="dxa"/>
        <w:jc w:val="center"/>
        <w:tblLook w:val="04A0" w:firstRow="1" w:lastRow="0" w:firstColumn="1" w:lastColumn="0" w:noHBand="0" w:noVBand="1"/>
      </w:tblPr>
      <w:tblGrid>
        <w:gridCol w:w="2127"/>
        <w:gridCol w:w="1418"/>
        <w:gridCol w:w="1417"/>
        <w:gridCol w:w="1701"/>
      </w:tblGrid>
      <w:tr w:rsidR="00A03BBC" w:rsidRPr="006C1576" w14:paraId="0C6F0C49" w14:textId="77777777" w:rsidTr="00120718">
        <w:trPr>
          <w:jc w:val="center"/>
        </w:trPr>
        <w:tc>
          <w:tcPr>
            <w:tcW w:w="2127" w:type="dxa"/>
          </w:tcPr>
          <w:p w14:paraId="17FF9320" w14:textId="4A9F4D98" w:rsidR="00A03BBC" w:rsidRPr="006C1576" w:rsidRDefault="00A03BBC" w:rsidP="00550D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="Calibri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1418" w:type="dxa"/>
          </w:tcPr>
          <w:p w14:paraId="159DF3C3" w14:textId="254D0D2F" w:rsidR="00A03BBC" w:rsidRPr="006C1576" w:rsidRDefault="004C3391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oMath>
            <w:r w:rsidR="00A03BBC"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, штук</w:t>
            </w:r>
          </w:p>
        </w:tc>
        <w:tc>
          <w:tcPr>
            <w:tcW w:w="1417" w:type="dxa"/>
          </w:tcPr>
          <w:p w14:paraId="679D38DC" w14:textId="083A48E6" w:rsidR="00A03BBC" w:rsidRPr="006C1576" w:rsidRDefault="004C3391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A03BBC"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, штук</w:t>
            </w:r>
          </w:p>
        </w:tc>
        <w:tc>
          <w:tcPr>
            <w:tcW w:w="1701" w:type="dxa"/>
          </w:tcPr>
          <w:p w14:paraId="159B3288" w14:textId="351F01C7" w:rsidR="00A03BBC" w:rsidRPr="006C1576" w:rsidRDefault="00ED19AA" w:rsidP="00ED19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oMath>
            <w:r w:rsidR="00A03BBC"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, руб.</w:t>
            </w:r>
          </w:p>
        </w:tc>
      </w:tr>
      <w:tr w:rsidR="00A03BBC" w:rsidRPr="006C1576" w14:paraId="3DEC74F9" w14:textId="77777777" w:rsidTr="00120718">
        <w:trPr>
          <w:jc w:val="center"/>
        </w:trPr>
        <w:tc>
          <w:tcPr>
            <w:tcW w:w="2127" w:type="dxa"/>
          </w:tcPr>
          <w:p w14:paraId="4117BB58" w14:textId="3CD89A2F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B3709D0" w14:textId="42BBFE4E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</w:tcPr>
          <w:p w14:paraId="29803A5E" w14:textId="17A3917F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01" w:type="dxa"/>
          </w:tcPr>
          <w:p w14:paraId="374BFEC4" w14:textId="6BB52C99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</w:tr>
      <w:tr w:rsidR="00A03BBC" w:rsidRPr="006C1576" w14:paraId="2846AD14" w14:textId="77777777" w:rsidTr="00120718">
        <w:trPr>
          <w:jc w:val="center"/>
        </w:trPr>
        <w:tc>
          <w:tcPr>
            <w:tcW w:w="2127" w:type="dxa"/>
          </w:tcPr>
          <w:p w14:paraId="78543B99" w14:textId="5C9FCEBF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3504C20" w14:textId="467B03F9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17" w:type="dxa"/>
          </w:tcPr>
          <w:p w14:paraId="2A852F09" w14:textId="7C45C32B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01" w:type="dxa"/>
          </w:tcPr>
          <w:p w14:paraId="526A23B7" w14:textId="5EF00B33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3 000 000 000</w:t>
            </w:r>
          </w:p>
        </w:tc>
      </w:tr>
      <w:tr w:rsidR="00A03BBC" w:rsidRPr="006C1576" w14:paraId="6F9E7A10" w14:textId="77777777" w:rsidTr="00120718">
        <w:trPr>
          <w:jc w:val="center"/>
        </w:trPr>
        <w:tc>
          <w:tcPr>
            <w:tcW w:w="2127" w:type="dxa"/>
          </w:tcPr>
          <w:p w14:paraId="7C024CFB" w14:textId="352E8CB1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F503902" w14:textId="682DD718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</w:tcPr>
          <w:p w14:paraId="43A7FD6F" w14:textId="723B6504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01" w:type="dxa"/>
          </w:tcPr>
          <w:p w14:paraId="1EB260F8" w14:textId="1628BFD5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3 000 000 000</w:t>
            </w:r>
          </w:p>
        </w:tc>
      </w:tr>
      <w:tr w:rsidR="00A03BBC" w:rsidRPr="006C1576" w14:paraId="05B96A45" w14:textId="77777777" w:rsidTr="00120718">
        <w:trPr>
          <w:jc w:val="center"/>
        </w:trPr>
        <w:tc>
          <w:tcPr>
            <w:tcW w:w="2127" w:type="dxa"/>
          </w:tcPr>
          <w:p w14:paraId="15F071A1" w14:textId="55D841E9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443E6CF" w14:textId="7F598BA3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</w:tcPr>
          <w:p w14:paraId="7BFA6B50" w14:textId="58E21511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01" w:type="dxa"/>
          </w:tcPr>
          <w:p w14:paraId="50F3CD47" w14:textId="7C985210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1000 000 000</w:t>
            </w:r>
          </w:p>
        </w:tc>
      </w:tr>
      <w:tr w:rsidR="00A03BBC" w:rsidRPr="006C1576" w14:paraId="1013AA87" w14:textId="77777777" w:rsidTr="00120718">
        <w:trPr>
          <w:jc w:val="center"/>
        </w:trPr>
        <w:tc>
          <w:tcPr>
            <w:tcW w:w="2127" w:type="dxa"/>
          </w:tcPr>
          <w:p w14:paraId="6A4BFF5F" w14:textId="505EA935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090DA40" w14:textId="6DE8C924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7" w:type="dxa"/>
          </w:tcPr>
          <w:p w14:paraId="50116A98" w14:textId="0C13203F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01" w:type="dxa"/>
          </w:tcPr>
          <w:p w14:paraId="47331C8A" w14:textId="6D4B4ACA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3 000 000 000</w:t>
            </w:r>
          </w:p>
        </w:tc>
      </w:tr>
      <w:tr w:rsidR="00A03BBC" w:rsidRPr="006C1576" w14:paraId="60834C30" w14:textId="77777777" w:rsidTr="00120718">
        <w:trPr>
          <w:jc w:val="center"/>
        </w:trPr>
        <w:tc>
          <w:tcPr>
            <w:tcW w:w="2127" w:type="dxa"/>
          </w:tcPr>
          <w:p w14:paraId="36E23E73" w14:textId="5A8E345D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20828477" w14:textId="7AD4A478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17" w:type="dxa"/>
          </w:tcPr>
          <w:p w14:paraId="4A209608" w14:textId="55592C6B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01" w:type="dxa"/>
          </w:tcPr>
          <w:p w14:paraId="5F2891B6" w14:textId="2C15BF58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1 000 000 000</w:t>
            </w:r>
          </w:p>
        </w:tc>
      </w:tr>
      <w:tr w:rsidR="00A03BBC" w:rsidRPr="006C1576" w14:paraId="51D43CEC" w14:textId="77777777" w:rsidTr="00120718">
        <w:trPr>
          <w:jc w:val="center"/>
        </w:trPr>
        <w:tc>
          <w:tcPr>
            <w:tcW w:w="2127" w:type="dxa"/>
          </w:tcPr>
          <w:p w14:paraId="0806D5C0" w14:textId="1C7BB306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0942E877" w14:textId="2578F645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17" w:type="dxa"/>
          </w:tcPr>
          <w:p w14:paraId="66DCDC2B" w14:textId="2578E14B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01" w:type="dxa"/>
          </w:tcPr>
          <w:p w14:paraId="41F74DA4" w14:textId="0D9994AE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1 000 000 000</w:t>
            </w:r>
          </w:p>
        </w:tc>
      </w:tr>
      <w:tr w:rsidR="00A03BBC" w:rsidRPr="006C1576" w14:paraId="301FD5ED" w14:textId="77777777" w:rsidTr="00120718">
        <w:trPr>
          <w:jc w:val="center"/>
        </w:trPr>
        <w:tc>
          <w:tcPr>
            <w:tcW w:w="2127" w:type="dxa"/>
          </w:tcPr>
          <w:p w14:paraId="56321541" w14:textId="508F9B7C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A66518D" w14:textId="03D1A36C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17" w:type="dxa"/>
          </w:tcPr>
          <w:p w14:paraId="2253807E" w14:textId="632E5D38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01" w:type="dxa"/>
          </w:tcPr>
          <w:p w14:paraId="78751552" w14:textId="18EA950B" w:rsidR="00A03BBC" w:rsidRPr="006C1576" w:rsidRDefault="00A03BBC" w:rsidP="00550D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3 000 000 000</w:t>
            </w:r>
          </w:p>
        </w:tc>
      </w:tr>
    </w:tbl>
    <w:p w14:paraId="3C1E483F" w14:textId="3904013E" w:rsidR="00573ED7" w:rsidRPr="006C1576" w:rsidRDefault="00573ED7" w:rsidP="00573ED7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58E5C84E" w14:textId="2C038721" w:rsidR="00524132" w:rsidRPr="006C1576" w:rsidRDefault="00524132" w:rsidP="00524132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Кроме этого,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контрактные сроки кредита под номером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и депозита под номером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соответственно. Возможны три различных контрактных срока кредитов – 6 месяцев, 12 месяцев и 2 года. Депозиты могут быть размещены на 3 месяца, 6 месяцев и 1 год. Перед началом моделирования для всех кредитов и депозитов </w:t>
      </w:r>
      <w:r w:rsidR="004C3391">
        <w:rPr>
          <w:rFonts w:ascii="Times New Roman" w:eastAsiaTheme="minorEastAsia" w:hAnsi="Times New Roman" w:cs="Times New Roman"/>
          <w:sz w:val="24"/>
          <w:szCs w:val="24"/>
        </w:rPr>
        <w:t xml:space="preserve">начального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портфеля случайным образом определяются контрактные сроки. Возможные вероятности различных контрактных сроков кредитов и депозитов приведены в табл.2. </w:t>
      </w:r>
    </w:p>
    <w:p w14:paraId="02422AB0" w14:textId="5F220890" w:rsidR="00524132" w:rsidRPr="006C1576" w:rsidRDefault="00524132" w:rsidP="00524132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Помимо контрактного срока каждый кредит и депозит характеризуется оставшимся сроком до погашения. Обозначим через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дату погашения кредита с номером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Аналогично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дата погашения депозита с номером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66FBA" w:rsidRPr="006C1576">
        <w:rPr>
          <w:rFonts w:ascii="Times New Roman" w:eastAsiaTheme="minorEastAsia" w:hAnsi="Times New Roman" w:cs="Times New Roman"/>
          <w:sz w:val="24"/>
          <w:szCs w:val="24"/>
        </w:rPr>
        <w:t>В начальный момент времени в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еличины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получаются как  </w:t>
      </w:r>
    </w:p>
    <w:p w14:paraId="3F6C46F4" w14:textId="77777777" w:rsidR="00524132" w:rsidRPr="006C1576" w:rsidRDefault="00524132" w:rsidP="00524132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EACE25" w14:textId="4DCEA43D" w:rsidR="00524132" w:rsidRPr="006C1576" w:rsidRDefault="004C3391" w:rsidP="00524132">
      <w:pPr>
        <w:pStyle w:val="a3"/>
        <w:spacing w:after="0" w:line="360" w:lineRule="auto"/>
        <w:ind w:left="283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</m:oMath>
      <w:r w:rsidR="00524132" w:rsidRPr="006C157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∙ζ</m:t>
        </m:r>
      </m:oMath>
      <w:r w:rsidR="00524132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sub>
        </m:sSub>
      </m:oMath>
      <w:r w:rsidR="00524132" w:rsidRPr="006C157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∙ζ</m:t>
        </m:r>
      </m:oMath>
      <w:r w:rsidR="00524132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,</w:t>
      </w:r>
      <w:r w:rsidR="00524132"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w:r w:rsidR="005D1974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524132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64E77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proofErr w:type="gramStart"/>
      <w:r w:rsidR="00264E77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524132" w:rsidRPr="006C1576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524132" w:rsidRPr="006C1576"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14:paraId="45F32135" w14:textId="72FD2248" w:rsidR="00524132" w:rsidRPr="004A7E88" w:rsidRDefault="00524132" w:rsidP="005241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случайная величина, равномерно распределенная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начальная дата моделирования; можно выбрать ее, например, как </w:t>
      </w:r>
      <w:proofErr w:type="gramStart"/>
      <w:r w:rsidR="00C749AA">
        <w:rPr>
          <w:rFonts w:ascii="Times New Roman" w:eastAsiaTheme="minorEastAsia" w:hAnsi="Times New Roman" w:cs="Times New Roman"/>
          <w:sz w:val="24"/>
          <w:szCs w:val="24"/>
        </w:rPr>
        <w:t>31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749AA">
        <w:rPr>
          <w:rFonts w:ascii="Times New Roman" w:eastAsiaTheme="minorEastAsia" w:hAnsi="Times New Roman" w:cs="Times New Roman"/>
          <w:sz w:val="24"/>
          <w:szCs w:val="24"/>
        </w:rPr>
        <w:t>12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.201</w:t>
      </w:r>
      <w:r w:rsidR="00C749AA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proofErr w:type="gramEnd"/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130C1B" w14:textId="0F924E75" w:rsidR="0007536D" w:rsidRPr="006C1576" w:rsidRDefault="0007536D" w:rsidP="0052413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708C41C" w14:textId="6BE41DF0" w:rsidR="0007536D" w:rsidRPr="006C1576" w:rsidRDefault="00B57CD7" w:rsidP="00820906">
      <w:pPr>
        <w:spacing w:after="0" w:line="240" w:lineRule="auto"/>
        <w:ind w:right="283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>Таблица 2</w:t>
      </w:r>
    </w:p>
    <w:p w14:paraId="2D96F2B4" w14:textId="2DC7564A" w:rsidR="00B57CD7" w:rsidRPr="006C1576" w:rsidRDefault="00B57CD7" w:rsidP="00B57CD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Распределения </w:t>
      </w:r>
      <w:r w:rsidR="00935C2D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вероятностей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контрактных сроков кредитов и депозитов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851"/>
        <w:gridCol w:w="987"/>
        <w:gridCol w:w="992"/>
        <w:gridCol w:w="856"/>
        <w:gridCol w:w="988"/>
        <w:gridCol w:w="1132"/>
      </w:tblGrid>
      <w:tr w:rsidR="006B22F5" w:rsidRPr="006C1576" w14:paraId="02FED7E8" w14:textId="77777777" w:rsidTr="006B22F5">
        <w:trPr>
          <w:jc w:val="center"/>
        </w:trPr>
        <w:tc>
          <w:tcPr>
            <w:tcW w:w="3119" w:type="dxa"/>
          </w:tcPr>
          <w:p w14:paraId="54D23DBC" w14:textId="77777777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30" w:type="dxa"/>
            <w:gridSpan w:val="3"/>
          </w:tcPr>
          <w:p w14:paraId="4B406F8B" w14:textId="474A8952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Депозиты</w:t>
            </w:r>
          </w:p>
        </w:tc>
        <w:tc>
          <w:tcPr>
            <w:tcW w:w="2976" w:type="dxa"/>
            <w:gridSpan w:val="3"/>
          </w:tcPr>
          <w:p w14:paraId="79BDD770" w14:textId="525F888E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Кредиты</w:t>
            </w:r>
          </w:p>
        </w:tc>
      </w:tr>
      <w:tr w:rsidR="006B22F5" w:rsidRPr="006C1576" w14:paraId="5C3F55F9" w14:textId="77777777" w:rsidTr="006B22F5">
        <w:trPr>
          <w:jc w:val="center"/>
        </w:trPr>
        <w:tc>
          <w:tcPr>
            <w:tcW w:w="3119" w:type="dxa"/>
          </w:tcPr>
          <w:p w14:paraId="6664DBF1" w14:textId="3F060451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Номер варианта</w:t>
            </w: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851" w:type="dxa"/>
          </w:tcPr>
          <w:p w14:paraId="6D518041" w14:textId="5901883A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14:paraId="6AB22F7E" w14:textId="2AD40ABD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14:paraId="50D4E970" w14:textId="34E2D40C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6" w:type="dxa"/>
          </w:tcPr>
          <w:p w14:paraId="130C4069" w14:textId="7CEDA2A1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580FC400" w14:textId="5C5C0F09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2" w:type="dxa"/>
          </w:tcPr>
          <w:p w14:paraId="6FDF1541" w14:textId="368838F5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</w:p>
        </w:tc>
      </w:tr>
      <w:tr w:rsidR="006B22F5" w:rsidRPr="006C1576" w14:paraId="27E4A7CA" w14:textId="77777777" w:rsidTr="006B22F5">
        <w:trPr>
          <w:jc w:val="center"/>
        </w:trPr>
        <w:tc>
          <w:tcPr>
            <w:tcW w:w="3119" w:type="dxa"/>
          </w:tcPr>
          <w:p w14:paraId="01B90D22" w14:textId="0C70B964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B135CBF" w14:textId="0859D6C8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987" w:type="dxa"/>
          </w:tcPr>
          <w:p w14:paraId="00D9CFA7" w14:textId="2CB59D5B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992" w:type="dxa"/>
          </w:tcPr>
          <w:p w14:paraId="3EFFD8FD" w14:textId="1ED96FBF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856" w:type="dxa"/>
          </w:tcPr>
          <w:p w14:paraId="783438E6" w14:textId="3B55B8D2" w:rsidR="006B22F5" w:rsidRPr="006C1576" w:rsidRDefault="00167C74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988" w:type="dxa"/>
          </w:tcPr>
          <w:p w14:paraId="0677D6CE" w14:textId="62A0222F" w:rsidR="006B22F5" w:rsidRPr="006C1576" w:rsidRDefault="00167C74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  <w:tc>
          <w:tcPr>
            <w:tcW w:w="1132" w:type="dxa"/>
          </w:tcPr>
          <w:p w14:paraId="3E784B11" w14:textId="344C535F" w:rsidR="006B22F5" w:rsidRPr="006C1576" w:rsidRDefault="00167C74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</w:t>
            </w:r>
          </w:p>
        </w:tc>
      </w:tr>
      <w:tr w:rsidR="006B22F5" w:rsidRPr="006C1576" w14:paraId="4FE32275" w14:textId="77777777" w:rsidTr="006B22F5">
        <w:trPr>
          <w:jc w:val="center"/>
        </w:trPr>
        <w:tc>
          <w:tcPr>
            <w:tcW w:w="3119" w:type="dxa"/>
          </w:tcPr>
          <w:p w14:paraId="3E9002E0" w14:textId="5B84E69A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18575EF9" w14:textId="684B5A35" w:rsidR="006B22F5" w:rsidRPr="006C1576" w:rsidRDefault="00167C74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987" w:type="dxa"/>
          </w:tcPr>
          <w:p w14:paraId="6AE32C2E" w14:textId="26F26C62" w:rsidR="006B22F5" w:rsidRPr="006C1576" w:rsidRDefault="00167C74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992" w:type="dxa"/>
          </w:tcPr>
          <w:p w14:paraId="2822C39E" w14:textId="04CC38E2" w:rsidR="006B22F5" w:rsidRPr="006C1576" w:rsidRDefault="00167C74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856" w:type="dxa"/>
          </w:tcPr>
          <w:p w14:paraId="58B7553F" w14:textId="1BDA00D3" w:rsidR="006B22F5" w:rsidRPr="006C1576" w:rsidRDefault="00167C74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988" w:type="dxa"/>
          </w:tcPr>
          <w:p w14:paraId="0C4E2B5B" w14:textId="408CA6EA" w:rsidR="006B22F5" w:rsidRPr="006C1576" w:rsidRDefault="00167C74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1132" w:type="dxa"/>
          </w:tcPr>
          <w:p w14:paraId="2DE1F0E4" w14:textId="13BFC4E9" w:rsidR="006B22F5" w:rsidRPr="006C1576" w:rsidRDefault="00167C74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  <w:tr w:rsidR="006B22F5" w:rsidRPr="006C1576" w14:paraId="32EA74FD" w14:textId="77777777" w:rsidTr="006B22F5">
        <w:trPr>
          <w:jc w:val="center"/>
        </w:trPr>
        <w:tc>
          <w:tcPr>
            <w:tcW w:w="3119" w:type="dxa"/>
          </w:tcPr>
          <w:p w14:paraId="4B82561F" w14:textId="4B05558B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42D9A2B4" w14:textId="7FB183A5" w:rsidR="006B22F5" w:rsidRPr="006C1576" w:rsidRDefault="00CC252E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987" w:type="dxa"/>
          </w:tcPr>
          <w:p w14:paraId="3243B9AB" w14:textId="031DB61A" w:rsidR="006B22F5" w:rsidRPr="006C1576" w:rsidRDefault="00CC252E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992" w:type="dxa"/>
          </w:tcPr>
          <w:p w14:paraId="6B36ACA3" w14:textId="3CF3D716" w:rsidR="006B22F5" w:rsidRPr="006C1576" w:rsidRDefault="00CC252E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856" w:type="dxa"/>
          </w:tcPr>
          <w:p w14:paraId="2B89C90D" w14:textId="274592F6" w:rsidR="006B22F5" w:rsidRPr="006C1576" w:rsidRDefault="008C29F3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988" w:type="dxa"/>
          </w:tcPr>
          <w:p w14:paraId="5FF2B77C" w14:textId="30F9299C" w:rsidR="006B22F5" w:rsidRPr="006C1576" w:rsidRDefault="008C29F3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1132" w:type="dxa"/>
          </w:tcPr>
          <w:p w14:paraId="7D75FFFC" w14:textId="505297E4" w:rsidR="006B22F5" w:rsidRPr="006C1576" w:rsidRDefault="008C29F3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0,4</w:t>
            </w:r>
          </w:p>
        </w:tc>
      </w:tr>
      <w:tr w:rsidR="006B22F5" w:rsidRPr="006C1576" w14:paraId="4D03304A" w14:textId="77777777" w:rsidTr="006B22F5">
        <w:trPr>
          <w:jc w:val="center"/>
        </w:trPr>
        <w:tc>
          <w:tcPr>
            <w:tcW w:w="3119" w:type="dxa"/>
          </w:tcPr>
          <w:p w14:paraId="3510EC04" w14:textId="26AFA3F1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7E23BA29" w14:textId="26B04B1A" w:rsidR="006B22F5" w:rsidRPr="006C1576" w:rsidRDefault="00C96F0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7" w:type="dxa"/>
          </w:tcPr>
          <w:p w14:paraId="3BA9A531" w14:textId="45C963BE" w:rsidR="006B22F5" w:rsidRPr="006C1576" w:rsidRDefault="00C96F0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992" w:type="dxa"/>
          </w:tcPr>
          <w:p w14:paraId="76330AA9" w14:textId="61E16426" w:rsidR="006B22F5" w:rsidRPr="006C1576" w:rsidRDefault="00C96F0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856" w:type="dxa"/>
          </w:tcPr>
          <w:p w14:paraId="1F2CE8A3" w14:textId="0B9E2B4B" w:rsidR="006B22F5" w:rsidRPr="006C1576" w:rsidRDefault="00C96F0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988" w:type="dxa"/>
          </w:tcPr>
          <w:p w14:paraId="18E576C8" w14:textId="478A107F" w:rsidR="006B22F5" w:rsidRPr="006C1576" w:rsidRDefault="00C96F0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32" w:type="dxa"/>
          </w:tcPr>
          <w:p w14:paraId="360A87A9" w14:textId="1ECBFCB8" w:rsidR="006B22F5" w:rsidRPr="006C1576" w:rsidRDefault="00C96F0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B22F5" w:rsidRPr="006C1576" w14:paraId="6549682F" w14:textId="77777777" w:rsidTr="006B22F5">
        <w:trPr>
          <w:jc w:val="center"/>
        </w:trPr>
        <w:tc>
          <w:tcPr>
            <w:tcW w:w="3119" w:type="dxa"/>
          </w:tcPr>
          <w:p w14:paraId="29D11D00" w14:textId="3B31245A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2D8A931D" w14:textId="7EA80F29" w:rsidR="006B22F5" w:rsidRPr="006C1576" w:rsidRDefault="0056552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7" w:type="dxa"/>
          </w:tcPr>
          <w:p w14:paraId="383A7EB3" w14:textId="710AA4D0" w:rsidR="006B22F5" w:rsidRPr="006C1576" w:rsidRDefault="0056552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71B7796" w14:textId="105A8AD6" w:rsidR="006B22F5" w:rsidRPr="006C1576" w:rsidRDefault="0056552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6" w:type="dxa"/>
          </w:tcPr>
          <w:p w14:paraId="33C7982C" w14:textId="7C8CFFCB" w:rsidR="006B22F5" w:rsidRPr="006C1576" w:rsidRDefault="0056552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88" w:type="dxa"/>
          </w:tcPr>
          <w:p w14:paraId="0B25B24B" w14:textId="4061AFF5" w:rsidR="006B22F5" w:rsidRPr="006C1576" w:rsidRDefault="0056552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2" w:type="dxa"/>
          </w:tcPr>
          <w:p w14:paraId="4035A6B6" w14:textId="483DF699" w:rsidR="006B22F5" w:rsidRPr="006C1576" w:rsidRDefault="00565520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B22F5" w:rsidRPr="006C1576" w14:paraId="316CFCD9" w14:textId="77777777" w:rsidTr="006B22F5">
        <w:trPr>
          <w:jc w:val="center"/>
        </w:trPr>
        <w:tc>
          <w:tcPr>
            <w:tcW w:w="3119" w:type="dxa"/>
          </w:tcPr>
          <w:p w14:paraId="4C2ECBA2" w14:textId="674C5554" w:rsidR="006B22F5" w:rsidRPr="006C1576" w:rsidRDefault="006B22F5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4D7EA9C6" w14:textId="7F17AF75" w:rsidR="006B22F5" w:rsidRPr="006C1576" w:rsidRDefault="00485162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987" w:type="dxa"/>
          </w:tcPr>
          <w:p w14:paraId="0F43DF4F" w14:textId="5B5D55DB" w:rsidR="006B22F5" w:rsidRPr="006C1576" w:rsidRDefault="00485162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992" w:type="dxa"/>
          </w:tcPr>
          <w:p w14:paraId="39DA8D07" w14:textId="449BA4EE" w:rsidR="006B22F5" w:rsidRPr="006C1576" w:rsidRDefault="00485162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856" w:type="dxa"/>
          </w:tcPr>
          <w:p w14:paraId="10610948" w14:textId="48D3231E" w:rsidR="006B22F5" w:rsidRPr="006C1576" w:rsidRDefault="00485162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988" w:type="dxa"/>
          </w:tcPr>
          <w:p w14:paraId="75ADCA6C" w14:textId="3659F836" w:rsidR="006B22F5" w:rsidRPr="006C1576" w:rsidRDefault="00485162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0,1</w:t>
            </w:r>
          </w:p>
        </w:tc>
        <w:tc>
          <w:tcPr>
            <w:tcW w:w="1132" w:type="dxa"/>
          </w:tcPr>
          <w:p w14:paraId="273B8513" w14:textId="6D6B1861" w:rsidR="006B22F5" w:rsidRPr="006C1576" w:rsidRDefault="00485162" w:rsidP="00B57C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6C157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</w:t>
            </w:r>
          </w:p>
        </w:tc>
      </w:tr>
    </w:tbl>
    <w:p w14:paraId="6BFACC53" w14:textId="77777777" w:rsidR="0018624C" w:rsidRPr="006C1576" w:rsidRDefault="0018624C" w:rsidP="00573ED7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14:paraId="0D4D2944" w14:textId="47BFBEB3" w:rsidR="00BB7BF1" w:rsidRDefault="004C353A" w:rsidP="005F2D9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="00121306" w:rsidRPr="006C1576">
        <w:rPr>
          <w:rFonts w:ascii="Times New Roman" w:eastAsiaTheme="minorEastAsia" w:hAnsi="Times New Roman" w:cs="Times New Roman"/>
          <w:sz w:val="24"/>
          <w:szCs w:val="24"/>
        </w:rPr>
        <w:t>Наконец, кажд</w:t>
      </w:r>
      <w:r w:rsidR="00A63221" w:rsidRPr="006C1576">
        <w:rPr>
          <w:rFonts w:ascii="Times New Roman" w:eastAsiaTheme="minorEastAsia" w:hAnsi="Times New Roman" w:cs="Times New Roman"/>
          <w:sz w:val="24"/>
          <w:szCs w:val="24"/>
        </w:rPr>
        <w:t>ый</w:t>
      </w:r>
      <w:r w:rsidR="00121306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3221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кредит и депозит характеризуется процентной ставкой. В исследовании предполагается, </w:t>
      </w:r>
      <w:r w:rsidR="00753134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что выплата процентов </w:t>
      </w:r>
      <w:r w:rsidR="004C3391">
        <w:rPr>
          <w:rFonts w:ascii="Times New Roman" w:eastAsiaTheme="minorEastAsia" w:hAnsi="Times New Roman" w:cs="Times New Roman"/>
          <w:sz w:val="24"/>
          <w:szCs w:val="24"/>
        </w:rPr>
        <w:t xml:space="preserve">по всем договорам </w:t>
      </w:r>
      <w:r w:rsidR="00753134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производится </w:t>
      </w:r>
      <w:r w:rsidR="009F61B7">
        <w:rPr>
          <w:rFonts w:ascii="Times New Roman" w:eastAsiaTheme="minorEastAsia" w:hAnsi="Times New Roman" w:cs="Times New Roman"/>
          <w:sz w:val="24"/>
          <w:szCs w:val="24"/>
        </w:rPr>
        <w:t>ежеквартально, а их начисление - ежедневно</w:t>
      </w:r>
      <w:r w:rsidR="00753134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805BD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В начальный момент времени всем кредитам и депозитам должны быть назначены </w:t>
      </w:r>
      <w:r w:rsidR="009F61B7">
        <w:rPr>
          <w:rFonts w:ascii="Times New Roman" w:eastAsiaTheme="minorEastAsia" w:hAnsi="Times New Roman" w:cs="Times New Roman"/>
          <w:sz w:val="24"/>
          <w:szCs w:val="24"/>
        </w:rPr>
        <w:t xml:space="preserve">соответствующие ставки. Для этого выбирается самая ранняя дата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F61B7">
        <w:rPr>
          <w:rFonts w:ascii="Times New Roman" w:eastAsiaTheme="minorEastAsia" w:hAnsi="Times New Roman" w:cs="Times New Roman"/>
          <w:sz w:val="24"/>
          <w:szCs w:val="24"/>
        </w:rPr>
        <w:t>заключения кредит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9F61B7">
        <w:rPr>
          <w:rFonts w:ascii="Times New Roman" w:eastAsiaTheme="minorEastAsia" w:hAnsi="Times New Roman" w:cs="Times New Roman"/>
          <w:sz w:val="24"/>
          <w:szCs w:val="24"/>
        </w:rPr>
        <w:t xml:space="preserve"> (депозит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9F61B7">
        <w:rPr>
          <w:rFonts w:ascii="Times New Roman" w:eastAsiaTheme="minorEastAsia" w:hAnsi="Times New Roman" w:cs="Times New Roman"/>
          <w:sz w:val="24"/>
          <w:szCs w:val="24"/>
        </w:rPr>
        <w:t>). Для этой даты случайным образом генериру</w:t>
      </w:r>
      <w:r w:rsidR="009B29F1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9F61B7">
        <w:rPr>
          <w:rFonts w:ascii="Times New Roman" w:eastAsiaTheme="minorEastAsia" w:hAnsi="Times New Roman" w:cs="Times New Roman"/>
          <w:sz w:val="24"/>
          <w:szCs w:val="24"/>
        </w:rPr>
        <w:t xml:space="preserve">тся </w:t>
      </w:r>
      <w:r w:rsidR="009B29F1">
        <w:rPr>
          <w:rFonts w:ascii="Times New Roman" w:eastAsiaTheme="minorEastAsia" w:hAnsi="Times New Roman" w:cs="Times New Roman"/>
          <w:sz w:val="24"/>
          <w:szCs w:val="24"/>
        </w:rPr>
        <w:t>кривые процентных ставок</w:t>
      </w:r>
      <w:r w:rsidR="001D1C2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29F1">
        <w:rPr>
          <w:rFonts w:ascii="Times New Roman" w:eastAsiaTheme="minorEastAsia" w:hAnsi="Times New Roman" w:cs="Times New Roman"/>
          <w:sz w:val="24"/>
          <w:szCs w:val="24"/>
        </w:rPr>
        <w:t>(соответствующая модель должна быть построена</w:t>
      </w:r>
      <w:r w:rsidR="001D1C2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по ставкам кредитов и депозитов нефинансовых организаций </w:t>
      </w:r>
      <w:r w:rsidR="009B29F1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1D1C29" w:rsidRPr="006C1576">
        <w:rPr>
          <w:rFonts w:ascii="Times New Roman" w:eastAsiaTheme="minorEastAsia" w:hAnsi="Times New Roman" w:cs="Times New Roman"/>
          <w:sz w:val="24"/>
          <w:szCs w:val="24"/>
        </w:rPr>
        <w:t>следует использовать резу</w:t>
      </w:r>
      <w:r w:rsidR="00BB7BF1" w:rsidRPr="006C1576">
        <w:rPr>
          <w:rFonts w:ascii="Times New Roman" w:eastAsiaTheme="minorEastAsia" w:hAnsi="Times New Roman" w:cs="Times New Roman"/>
          <w:sz w:val="24"/>
          <w:szCs w:val="24"/>
        </w:rPr>
        <w:t>льтаты стажировки в Банке ЗЕНИТ</w:t>
      </w:r>
      <w:r w:rsidR="001D1C2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A96AE1">
        <w:rPr>
          <w:rFonts w:ascii="Times New Roman" w:eastAsiaTheme="minorEastAsia" w:hAnsi="Times New Roman" w:cs="Times New Roman"/>
          <w:sz w:val="24"/>
          <w:szCs w:val="24"/>
        </w:rPr>
        <w:t>Ставк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A96AE1">
        <w:rPr>
          <w:rFonts w:ascii="Times New Roman" w:eastAsiaTheme="minorEastAsia" w:hAnsi="Times New Roman" w:cs="Times New Roman"/>
          <w:sz w:val="24"/>
          <w:szCs w:val="24"/>
        </w:rPr>
        <w:t xml:space="preserve"> по договор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 xml:space="preserve">ам, заключенным в дату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="00A96A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96AE1">
        <w:rPr>
          <w:rFonts w:ascii="Times New Roman" w:eastAsiaTheme="minorEastAsia" w:hAnsi="Times New Roman" w:cs="Times New Roman"/>
          <w:sz w:val="24"/>
          <w:szCs w:val="24"/>
        </w:rPr>
        <w:t>выбира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A96AE1">
        <w:rPr>
          <w:rFonts w:ascii="Times New Roman" w:eastAsiaTheme="minorEastAsia" w:hAnsi="Times New Roman" w:cs="Times New Roman"/>
          <w:sz w:val="24"/>
          <w:szCs w:val="24"/>
        </w:rPr>
        <w:t>тся из соответствующ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>их</w:t>
      </w:r>
      <w:r w:rsidR="00A96AE1">
        <w:rPr>
          <w:rFonts w:ascii="Times New Roman" w:eastAsiaTheme="minorEastAsia" w:hAnsi="Times New Roman" w:cs="Times New Roman"/>
          <w:sz w:val="24"/>
          <w:szCs w:val="24"/>
        </w:rPr>
        <w:t xml:space="preserve"> крив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>ых</w:t>
      </w:r>
      <w:r w:rsidR="00A96AE1">
        <w:rPr>
          <w:rFonts w:ascii="Times New Roman" w:eastAsiaTheme="minorEastAsia" w:hAnsi="Times New Roman" w:cs="Times New Roman"/>
          <w:sz w:val="24"/>
          <w:szCs w:val="24"/>
        </w:rPr>
        <w:t xml:space="preserve"> процентных ставок согласно контрактному сроку кредита (депозита).</w:t>
      </w:r>
    </w:p>
    <w:p w14:paraId="0BE6BC19" w14:textId="435C42AC" w:rsidR="00A96AE1" w:rsidRPr="00ED6A8F" w:rsidRDefault="00A96AE1" w:rsidP="005F2D9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 дальнейшем моделируются кривые процентных ставок 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 xml:space="preserve">для дней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 xml:space="preserve">аналогичным образом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назначаются 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 xml:space="preserve">процентные ставки всем кредитам и депозитам начального портфеля. (Здесь, как и ранее,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D6A8F">
        <w:rPr>
          <w:rFonts w:ascii="Times New Roman" w:eastAsiaTheme="minorEastAsia" w:hAnsi="Times New Roman" w:cs="Times New Roman"/>
          <w:sz w:val="24"/>
          <w:szCs w:val="24"/>
        </w:rPr>
        <w:t xml:space="preserve"> – дата начала моделирования портфеля).</w:t>
      </w:r>
    </w:p>
    <w:p w14:paraId="5664AEE9" w14:textId="77777777" w:rsidR="00BB7BF1" w:rsidRPr="006C1576" w:rsidRDefault="00BB7BF1" w:rsidP="005F2D9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F2447B" w14:textId="30F61F6E" w:rsidR="005F2D98" w:rsidRPr="006C1576" w:rsidRDefault="005F2D98" w:rsidP="005F2D98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C1576">
        <w:rPr>
          <w:rFonts w:ascii="Times New Roman" w:hAnsi="Times New Roman" w:cs="Times New Roman"/>
          <w:b/>
          <w:color w:val="auto"/>
          <w:sz w:val="24"/>
          <w:szCs w:val="24"/>
        </w:rPr>
        <w:t>Моделирование управления портфелем</w:t>
      </w:r>
      <w:r w:rsidR="00B91E76" w:rsidRPr="006C157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дерево сценариев</w:t>
      </w:r>
      <w:r w:rsidR="00D87A57" w:rsidRPr="006C157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факторов неопределенности</w:t>
      </w:r>
    </w:p>
    <w:p w14:paraId="0E6730FF" w14:textId="77777777" w:rsidR="00ED5A5E" w:rsidRPr="006C1576" w:rsidRDefault="00ED5A5E" w:rsidP="005F2D9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ACAD1B" w14:textId="1247BE68" w:rsidR="002D7DF1" w:rsidRPr="00ED19AA" w:rsidRDefault="005F2D98" w:rsidP="005F2D9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При погашении кредита или депозита заключается 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 xml:space="preserve">новый кредит (депозит) </w:t>
      </w:r>
      <w:r w:rsidR="00ED19AA">
        <w:rPr>
          <w:rFonts w:ascii="Times New Roman" w:eastAsiaTheme="minorEastAsia" w:hAnsi="Times New Roman" w:cs="Times New Roman"/>
          <w:sz w:val="24"/>
          <w:szCs w:val="24"/>
        </w:rPr>
        <w:t xml:space="preserve">такого же объема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на такой же (контрактный) срок с процентной ставкой, действующей на рынке для кредитов (депозитов) в </w:t>
      </w:r>
      <w:r w:rsidR="00ED6A8F">
        <w:rPr>
          <w:rFonts w:ascii="Times New Roman" w:eastAsiaTheme="minorEastAsia" w:hAnsi="Times New Roman" w:cs="Times New Roman"/>
          <w:sz w:val="24"/>
          <w:szCs w:val="24"/>
        </w:rPr>
        <w:t>этот день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D19AA">
        <w:rPr>
          <w:rFonts w:ascii="Times New Roman" w:eastAsiaTheme="minorEastAsia" w:hAnsi="Times New Roman" w:cs="Times New Roman"/>
          <w:sz w:val="24"/>
          <w:szCs w:val="24"/>
        </w:rPr>
        <w:t>Помимо кредитов и депозитов банк имеет счет</w:t>
      </w:r>
      <w:r w:rsidR="004C3391">
        <w:rPr>
          <w:rFonts w:ascii="Times New Roman" w:eastAsiaTheme="minorEastAsia" w:hAnsi="Times New Roman" w:cs="Times New Roman"/>
          <w:sz w:val="24"/>
          <w:szCs w:val="24"/>
        </w:rPr>
        <w:t xml:space="preserve"> для учета прибылей и убытков по ним</w:t>
      </w:r>
      <w:r w:rsidR="00ED19AA">
        <w:rPr>
          <w:rFonts w:ascii="Times New Roman" w:eastAsiaTheme="minorEastAsia" w:hAnsi="Times New Roman" w:cs="Times New Roman"/>
          <w:sz w:val="24"/>
          <w:szCs w:val="24"/>
        </w:rPr>
        <w:t xml:space="preserve">. В день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D19AA">
        <w:rPr>
          <w:rFonts w:ascii="Times New Roman" w:eastAsiaTheme="minorEastAsia" w:hAnsi="Times New Roman" w:cs="Times New Roman"/>
          <w:sz w:val="24"/>
          <w:szCs w:val="24"/>
        </w:rPr>
        <w:t xml:space="preserve"> остаток </w:t>
      </w:r>
      <w:r w:rsidR="004C3391">
        <w:rPr>
          <w:rFonts w:ascii="Times New Roman" w:eastAsiaTheme="minorEastAsia" w:hAnsi="Times New Roman" w:cs="Times New Roman"/>
          <w:sz w:val="24"/>
          <w:szCs w:val="24"/>
        </w:rPr>
        <w:t>данного</w:t>
      </w:r>
      <w:r w:rsidR="00ED19AA">
        <w:rPr>
          <w:rFonts w:ascii="Times New Roman" w:eastAsiaTheme="minorEastAsia" w:hAnsi="Times New Roman" w:cs="Times New Roman"/>
          <w:sz w:val="24"/>
          <w:szCs w:val="24"/>
        </w:rPr>
        <w:t xml:space="preserve"> счета равен нулю. При погашении кредита (депозита) полученные (уплаченные) проценты добавляются к текущему остатку расчетного счета (вычитаются из него). Таким образом, остаток счета </w:t>
      </w:r>
      <w:r w:rsidR="00ED19A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может быть отрицательным. На остаток текущего счета ежедневно начисляются проценты </w:t>
      </w:r>
      <w:r w:rsidR="00414453">
        <w:rPr>
          <w:rFonts w:ascii="Times New Roman" w:eastAsiaTheme="minorEastAsia" w:hAnsi="Times New Roman" w:cs="Times New Roman"/>
          <w:sz w:val="24"/>
          <w:szCs w:val="24"/>
        </w:rPr>
        <w:t xml:space="preserve">однодневной </w:t>
      </w:r>
      <w:r w:rsidR="00ED19AA">
        <w:rPr>
          <w:rFonts w:ascii="Times New Roman" w:eastAsiaTheme="minorEastAsia" w:hAnsi="Times New Roman" w:cs="Times New Roman"/>
          <w:sz w:val="24"/>
          <w:szCs w:val="24"/>
        </w:rPr>
        <w:t xml:space="preserve">ставке </w:t>
      </w:r>
      <w:r w:rsidR="00ED19AA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ED19AA" w:rsidRPr="00ED19A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D19AA">
        <w:rPr>
          <w:rFonts w:ascii="Times New Roman" w:eastAsiaTheme="minorEastAsia" w:hAnsi="Times New Roman" w:cs="Times New Roman"/>
          <w:sz w:val="24"/>
          <w:szCs w:val="24"/>
        </w:rPr>
        <w:t xml:space="preserve">кривой данного дня. </w:t>
      </w:r>
    </w:p>
    <w:p w14:paraId="282884F4" w14:textId="5743FF79" w:rsidR="0007536D" w:rsidRPr="006C1576" w:rsidRDefault="00D4516B" w:rsidP="005F2D9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Хеджирование процентного риска портфеля кредитов и депозитов осуществляется при помощи процентных свопов. Для расчета свопов используется соответствующая </w:t>
      </w:r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-кривая</w:t>
      </w:r>
      <w:r w:rsidR="000C775F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Т.е., факторами неопределенности задачи являются процентные ставки по активам и пассивам, а также </w:t>
      </w:r>
      <w:r w:rsidR="000C775F"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0C775F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-кривая </w:t>
      </w:r>
      <w:proofErr w:type="spellStart"/>
      <w:r w:rsidR="000C775F" w:rsidRPr="006C1576">
        <w:rPr>
          <w:rFonts w:ascii="Times New Roman" w:eastAsiaTheme="minorEastAsia" w:hAnsi="Times New Roman" w:cs="Times New Roman"/>
          <w:sz w:val="24"/>
          <w:szCs w:val="24"/>
        </w:rPr>
        <w:t>безрисковых</w:t>
      </w:r>
      <w:proofErr w:type="spellEnd"/>
      <w:r w:rsidR="000C775F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процентных ставок.</w:t>
      </w:r>
    </w:p>
    <w:p w14:paraId="55A5F29E" w14:textId="11301DA5" w:rsidR="000046C8" w:rsidRPr="006C1576" w:rsidRDefault="00DA318F" w:rsidP="005F2D9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Моделирование указанных кривых процентных ставок осуществляется с шагом 1 день. </w:t>
      </w:r>
      <w:r w:rsidR="00943BE4">
        <w:rPr>
          <w:rFonts w:ascii="Times New Roman" w:eastAsiaTheme="minorEastAsia" w:hAnsi="Times New Roman" w:cs="Times New Roman"/>
          <w:sz w:val="24"/>
          <w:szCs w:val="24"/>
        </w:rPr>
        <w:t>В последний рабочий день каждого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квартал</w:t>
      </w:r>
      <w:r w:rsidR="00943BE4"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осуществляется оптимизация хеджирующего портфеля </w:t>
      </w:r>
      <w:r w:rsidR="00B91E76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свопов. </w:t>
      </w:r>
      <w:r w:rsidR="00D87A57" w:rsidRPr="006C1576">
        <w:rPr>
          <w:rFonts w:ascii="Times New Roman" w:eastAsiaTheme="minorEastAsia" w:hAnsi="Times New Roman" w:cs="Times New Roman"/>
          <w:sz w:val="24"/>
          <w:szCs w:val="24"/>
        </w:rPr>
        <w:t>После оптимизации моделируется перестройка свопов в соответствии с полученными рекомендациями</w:t>
      </w:r>
      <w:r w:rsidR="00A76ECC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Задача оптимизации формулируется на основе </w:t>
      </w:r>
      <w:r w:rsidR="00E15F49">
        <w:rPr>
          <w:rFonts w:ascii="Times New Roman" w:eastAsiaTheme="minorEastAsia" w:hAnsi="Times New Roman" w:cs="Times New Roman"/>
          <w:sz w:val="24"/>
          <w:szCs w:val="24"/>
        </w:rPr>
        <w:t xml:space="preserve">парадигмы </w:t>
      </w:r>
      <w:r w:rsidR="00A76ECC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многоэтапного стохастического программирования. </w:t>
      </w:r>
    </w:p>
    <w:p w14:paraId="655032C0" w14:textId="2D11C83A" w:rsidR="000C775F" w:rsidRPr="006C1576" w:rsidRDefault="00BA7ABB" w:rsidP="005F2D9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Факторы неопределенности при решении задачи оптимизации портфеля свопов представляются при помощи дерева сценариев, которое </w:t>
      </w:r>
      <w:r w:rsidR="000046C8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содержит </w:t>
      </w:r>
      <w:r w:rsidR="00106D45" w:rsidRPr="006C1576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0046C8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этапов. Первый этап соответствует дню, когда производится оптимизация портфеля. </w:t>
      </w:r>
      <w:r w:rsidR="00106D45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Второй, третий, четвертый и пятый этапы соответствуют </w:t>
      </w:r>
      <w:r w:rsidR="00943BE4">
        <w:rPr>
          <w:rFonts w:ascii="Times New Roman" w:eastAsiaTheme="minorEastAsia" w:hAnsi="Times New Roman" w:cs="Times New Roman"/>
          <w:sz w:val="24"/>
          <w:szCs w:val="24"/>
        </w:rPr>
        <w:t>последним рабочим дням</w:t>
      </w:r>
      <w:r w:rsidR="00106D45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следующих </w:t>
      </w:r>
      <w:r w:rsidR="001C7112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кварталов. Последний шестой этап </w:t>
      </w:r>
      <w:r w:rsidR="008762B7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ассоциируется с днем 31 декабря, ближайшим к дате пятого этапа дерева. Каждый узел дерева имеет 10 преемников. Генерация соответствующих узлам </w:t>
      </w:r>
      <w:r w:rsidR="00847D71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кривых </w:t>
      </w:r>
      <w:r w:rsidR="008762B7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процентных ставок осуществляется по методу Монте-Карло. </w:t>
      </w:r>
      <w:r w:rsidR="00B86E4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Всего дерево сценариев содержит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=100000</m:t>
        </m:r>
      </m:oMath>
      <w:r w:rsidR="00B86E4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сценариев.</w:t>
      </w:r>
      <w:r w:rsidR="00C1050D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 w:rsidR="001D001C">
        <w:rPr>
          <w:rFonts w:ascii="Times New Roman" w:eastAsiaTheme="minorEastAsia" w:hAnsi="Times New Roman" w:cs="Times New Roman"/>
          <w:sz w:val="24"/>
          <w:szCs w:val="24"/>
        </w:rPr>
        <w:t>решении оптимизационной</w:t>
      </w:r>
      <w:r w:rsidR="00C1050D">
        <w:rPr>
          <w:rFonts w:ascii="Times New Roman" w:eastAsiaTheme="minorEastAsia" w:hAnsi="Times New Roman" w:cs="Times New Roman"/>
          <w:sz w:val="24"/>
          <w:szCs w:val="24"/>
        </w:rPr>
        <w:t xml:space="preserve"> задачи все сценарии считаются равновероятными.</w:t>
      </w:r>
    </w:p>
    <w:p w14:paraId="6A4F4A01" w14:textId="34AB596A" w:rsidR="00103E93" w:rsidRPr="006C1576" w:rsidRDefault="00E00AD6" w:rsidP="00FE2D7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="00B86E4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Возможные сроки свопов составляют </w:t>
      </w:r>
      <w:r w:rsidR="00ED1AC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6, 12 и 24 месяца. </w:t>
      </w:r>
      <w:r w:rsidR="00943BE4">
        <w:rPr>
          <w:rFonts w:ascii="Times New Roman" w:eastAsiaTheme="minorEastAsia" w:hAnsi="Times New Roman" w:cs="Times New Roman"/>
          <w:sz w:val="24"/>
          <w:szCs w:val="24"/>
        </w:rPr>
        <w:t xml:space="preserve">Днем погашения свопа всегда является последний рабочий день соответствующего квартала. </w:t>
      </w:r>
      <w:r w:rsidR="00365230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Своп можно купить (в этом случае Банк становится получателем плавающей ставки) или продать (тогда он – плательщик плавающей ставки). Перед решением оптимизационной задачи следует рассчитать фиксированную ставку по всем возможным свопам. </w:t>
      </w:r>
      <w:r w:rsidR="00ED1AC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Выплаты по свопам производятся ежеквартально в соответствии с действовавшей на начала купонного периода </w:t>
      </w:r>
      <w:r w:rsidR="00767E4A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годовой </w:t>
      </w:r>
      <w:r w:rsidR="00ED1AC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ставкой (взятой с </w:t>
      </w:r>
      <w:r w:rsidR="00ED1AC3"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ED1AC3" w:rsidRPr="006C1576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gramStart"/>
      <w:r w:rsidR="00ED1AC3" w:rsidRPr="006C1576">
        <w:rPr>
          <w:rFonts w:ascii="Times New Roman" w:eastAsiaTheme="minorEastAsia" w:hAnsi="Times New Roman" w:cs="Times New Roman"/>
          <w:sz w:val="24"/>
          <w:szCs w:val="24"/>
        </w:rPr>
        <w:t>кривой )</w:t>
      </w:r>
      <w:proofErr w:type="gramEnd"/>
      <w:r w:rsidR="00ED1AC3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2FC2DB5" w14:textId="7C275C7B" w:rsidR="00BD1FAC" w:rsidRDefault="003B65ED" w:rsidP="00ED19A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расчетов по свопам используется еще один специальный счет. </w:t>
      </w:r>
      <w:r w:rsidR="00ED19AA">
        <w:rPr>
          <w:rFonts w:ascii="Times New Roman" w:eastAsiaTheme="minorEastAsia" w:hAnsi="Times New Roman" w:cs="Times New Roman"/>
          <w:sz w:val="24"/>
          <w:szCs w:val="24"/>
        </w:rPr>
        <w:t xml:space="preserve">Процентные платежи по свопам добавляются к </w:t>
      </w:r>
      <w:r>
        <w:rPr>
          <w:rFonts w:ascii="Times New Roman" w:eastAsiaTheme="minorEastAsia" w:hAnsi="Times New Roman" w:cs="Times New Roman"/>
          <w:sz w:val="24"/>
          <w:szCs w:val="24"/>
        </w:rPr>
        <w:t>этому</w:t>
      </w:r>
      <w:r w:rsidR="00ED19AA">
        <w:rPr>
          <w:rFonts w:ascii="Times New Roman" w:eastAsiaTheme="minorEastAsia" w:hAnsi="Times New Roman" w:cs="Times New Roman"/>
          <w:sz w:val="24"/>
          <w:szCs w:val="24"/>
        </w:rPr>
        <w:t xml:space="preserve"> счету (вычитаются из него, если </w:t>
      </w:r>
      <w:r w:rsidR="0001318A">
        <w:rPr>
          <w:rFonts w:ascii="Times New Roman" w:eastAsiaTheme="minorEastAsia" w:hAnsi="Times New Roman" w:cs="Times New Roman"/>
          <w:sz w:val="24"/>
          <w:szCs w:val="24"/>
        </w:rPr>
        <w:t>плательщиком оказывается банк</w:t>
      </w:r>
      <w:r w:rsidR="00D13FE6" w:rsidRPr="00D13FE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1318A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Ежедневно на остаток данного счета начисляется однодневная ставка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3B65ED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кривой.</w:t>
      </w:r>
    </w:p>
    <w:p w14:paraId="0D13E12F" w14:textId="4EB27D59" w:rsidR="005025CA" w:rsidRDefault="005025CA" w:rsidP="00ED19A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7F9ECB" w14:textId="77777777" w:rsidR="005025CA" w:rsidRPr="003B65ED" w:rsidRDefault="005025CA" w:rsidP="00ED19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B5656F" w14:textId="77777777" w:rsidR="000201D4" w:rsidRPr="006C1576" w:rsidRDefault="000201D4" w:rsidP="004B3F1C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14:paraId="0FD8E3E7" w14:textId="6A7E66E4" w:rsidR="00847D71" w:rsidRDefault="0007209F" w:rsidP="004B3F1C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Современная теория портфеля</w:t>
      </w:r>
    </w:p>
    <w:p w14:paraId="65A4CC04" w14:textId="77777777" w:rsidR="00734B81" w:rsidRDefault="00734B81" w:rsidP="00734B81"/>
    <w:p w14:paraId="76163648" w14:textId="52F8D2B0" w:rsidR="0098790F" w:rsidRPr="0098790F" w:rsidRDefault="00A6689E" w:rsidP="0098790F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8790F" w:rsidRPr="0098790F">
        <w:rPr>
          <w:rFonts w:ascii="Times New Roman" w:hAnsi="Times New Roman" w:cs="Times New Roman"/>
          <w:b/>
          <w:color w:val="auto"/>
          <w:sz w:val="24"/>
          <w:szCs w:val="24"/>
        </w:rPr>
        <w:t>Меры риска</w:t>
      </w:r>
    </w:p>
    <w:p w14:paraId="4D2D5D92" w14:textId="77777777" w:rsidR="0098790F" w:rsidRPr="00734B81" w:rsidRDefault="0098790F" w:rsidP="00734B81"/>
    <w:p w14:paraId="79008DDD" w14:textId="69519AED" w:rsidR="00474159" w:rsidRPr="006C1576" w:rsidRDefault="00474159" w:rsidP="00734B8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1576">
        <w:rPr>
          <w:rFonts w:ascii="Times New Roman" w:hAnsi="Times New Roman" w:cs="Times New Roman"/>
          <w:sz w:val="24"/>
          <w:szCs w:val="24"/>
        </w:rPr>
        <w:t xml:space="preserve">На протяжении многих лет в риск-менеджменте использовалась мера </w:t>
      </w:r>
      <w:proofErr w:type="spellStart"/>
      <w:r w:rsidRPr="006C157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C1576">
        <w:rPr>
          <w:rFonts w:ascii="Times New Roman" w:hAnsi="Times New Roman" w:cs="Times New Roman"/>
          <w:sz w:val="24"/>
          <w:szCs w:val="24"/>
        </w:rPr>
        <w:t xml:space="preserve"> (</w:t>
      </w:r>
      <w:r w:rsidRPr="006C157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6C1576">
        <w:rPr>
          <w:rFonts w:ascii="Times New Roman" w:hAnsi="Times New Roman" w:cs="Times New Roman"/>
          <w:sz w:val="24"/>
          <w:szCs w:val="24"/>
        </w:rPr>
        <w:t>-</w:t>
      </w:r>
      <w:r w:rsidRPr="006C1576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6C1576">
        <w:rPr>
          <w:rFonts w:ascii="Times New Roman" w:hAnsi="Times New Roman" w:cs="Times New Roman"/>
          <w:sz w:val="24"/>
          <w:szCs w:val="24"/>
        </w:rPr>
        <w:t>-</w:t>
      </w:r>
      <w:r w:rsidRPr="006C1576">
        <w:rPr>
          <w:rFonts w:ascii="Times New Roman" w:hAnsi="Times New Roman" w:cs="Times New Roman"/>
          <w:sz w:val="24"/>
          <w:szCs w:val="24"/>
          <w:lang w:val="en-US"/>
        </w:rPr>
        <w:t>Risk</w:t>
      </w:r>
      <w:r w:rsidRPr="006C1576">
        <w:rPr>
          <w:rFonts w:ascii="Times New Roman" w:hAnsi="Times New Roman" w:cs="Times New Roman"/>
          <w:sz w:val="24"/>
          <w:szCs w:val="24"/>
        </w:rPr>
        <w:t xml:space="preserve">), представляющая собой </w:t>
      </w:r>
      <w:r w:rsidR="000201D4">
        <w:rPr>
          <w:rFonts w:ascii="Times New Roman" w:hAnsi="Times New Roman" w:cs="Times New Roman"/>
          <w:sz w:val="24"/>
          <w:szCs w:val="24"/>
        </w:rPr>
        <w:t>верхний</w:t>
      </w:r>
      <w:r w:rsidRPr="006C1576">
        <w:rPr>
          <w:rFonts w:ascii="Times New Roman" w:hAnsi="Times New Roman" w:cs="Times New Roman"/>
          <w:sz w:val="24"/>
          <w:szCs w:val="24"/>
        </w:rPr>
        <w:t xml:space="preserve"> квантиль распределения вероятностей потерь портфеля, взятый с знаком минус (при измерении риска потери обычно выражаются положительным числом). </w:t>
      </w:r>
    </w:p>
    <w:p w14:paraId="254F4728" w14:textId="77777777" w:rsidR="00474159" w:rsidRPr="0024041F" w:rsidRDefault="00474159" w:rsidP="00906C4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hAnsi="Times New Roman" w:cs="Times New Roman"/>
          <w:sz w:val="24"/>
          <w:szCs w:val="24"/>
        </w:rPr>
        <w:t xml:space="preserve">Приведем формальное определение </w:t>
      </w:r>
      <w:proofErr w:type="spellStart"/>
      <w:r w:rsidRPr="006C157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C1576">
        <w:rPr>
          <w:rFonts w:ascii="Times New Roman" w:hAnsi="Times New Roman" w:cs="Times New Roman"/>
          <w:sz w:val="24"/>
          <w:szCs w:val="24"/>
        </w:rPr>
        <w:t xml:space="preserve">. Пусть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функция потерь портфеля, 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вектор, определяющий структуру портфеля;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ξ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p>
        </m:sSup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случайный вектор, представляющий факторы неопределенности. 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плотность распределения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Тогда вероятность того, что значение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не превысит заданный порог </w:t>
      </w:r>
      <w:r w:rsidRPr="006C1576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определяется как </w:t>
      </w:r>
    </w:p>
    <w:p w14:paraId="6D698459" w14:textId="3ACCE5DF" w:rsidR="00474159" w:rsidRPr="006C1576" w:rsidRDefault="00474159" w:rsidP="004B3F1C">
      <w:pPr>
        <w:spacing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(</w:t>
      </w:r>
      <w:r w:rsidRPr="0024041F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4073ABA" w14:textId="77777777" w:rsidR="00474159" w:rsidRPr="006C1576" w:rsidRDefault="00474159" w:rsidP="004B3F1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VaR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для заданной доверительной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который будем обозначать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>, рассчитывается по формуле</w:t>
      </w:r>
    </w:p>
    <w:p w14:paraId="0993D552" w14:textId="5FC5D192" w:rsidR="00474159" w:rsidRPr="006C1576" w:rsidRDefault="004C3391" w:rsidP="004167C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e>
              <m:lim/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∈R: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≥β</m:t>
                </m:r>
              </m:e>
            </m:d>
          </m:e>
        </m:func>
      </m:oMath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(</w:t>
      </w:r>
      <w:r w:rsidR="00474159" w:rsidRPr="0024041F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6D200F64" w14:textId="68500658" w:rsidR="00474159" w:rsidRPr="006C1576" w:rsidRDefault="00BB1C9C" w:rsidP="00B83AF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r w:rsidR="00474159" w:rsidRPr="006C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159" w:rsidRPr="006C157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474159" w:rsidRPr="006C1576">
        <w:rPr>
          <w:rFonts w:ascii="Times New Roman" w:hAnsi="Times New Roman" w:cs="Times New Roman"/>
          <w:sz w:val="24"/>
          <w:szCs w:val="24"/>
        </w:rPr>
        <w:t xml:space="preserve"> не явля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74159" w:rsidRPr="006C1576">
        <w:rPr>
          <w:rFonts w:ascii="Times New Roman" w:hAnsi="Times New Roman" w:cs="Times New Roman"/>
          <w:sz w:val="24"/>
          <w:szCs w:val="24"/>
        </w:rPr>
        <w:t>тся когерентн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474159" w:rsidRPr="006C1576">
        <w:rPr>
          <w:rFonts w:ascii="Times New Roman" w:hAnsi="Times New Roman" w:cs="Times New Roman"/>
          <w:sz w:val="24"/>
          <w:szCs w:val="24"/>
        </w:rPr>
        <w:t xml:space="preserve"> мер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474159" w:rsidRPr="006C1576">
        <w:rPr>
          <w:rFonts w:ascii="Times New Roman" w:hAnsi="Times New Roman" w:cs="Times New Roman"/>
          <w:sz w:val="24"/>
          <w:szCs w:val="24"/>
        </w:rPr>
        <w:t xml:space="preserve"> риска</w:t>
      </w:r>
      <w:r w:rsidR="004167C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44386059"/>
          <w:citation/>
        </w:sdtPr>
        <w:sdtContent>
          <w:r w:rsidR="004167CE" w:rsidRPr="006C15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167CE" w:rsidRPr="006C1576">
            <w:rPr>
              <w:rFonts w:ascii="Times New Roman" w:hAnsi="Times New Roman" w:cs="Times New Roman"/>
              <w:sz w:val="24"/>
              <w:szCs w:val="24"/>
            </w:rPr>
            <w:instrText xml:space="preserve">CITATION Art99 \l 1049 </w:instrText>
          </w:r>
          <w:r w:rsidR="004167CE" w:rsidRPr="006C15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F6448" w:rsidRPr="00AF6448">
            <w:rPr>
              <w:rFonts w:ascii="Times New Roman" w:hAnsi="Times New Roman" w:cs="Times New Roman"/>
              <w:noProof/>
              <w:sz w:val="24"/>
              <w:szCs w:val="24"/>
            </w:rPr>
            <w:t>(Artzner P., Delbaen F., Eber J.-M. and Heath D., 1999)</w:t>
          </w:r>
          <w:r w:rsidR="004167CE" w:rsidRPr="006C157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74159" w:rsidRPr="006C1576">
        <w:rPr>
          <w:rFonts w:ascii="Times New Roman" w:hAnsi="Times New Roman" w:cs="Times New Roman"/>
          <w:sz w:val="24"/>
          <w:szCs w:val="24"/>
        </w:rPr>
        <w:t xml:space="preserve">. </w:t>
      </w:r>
      <w:r w:rsidR="00B83AF1">
        <w:rPr>
          <w:rFonts w:ascii="Times New Roman" w:hAnsi="Times New Roman" w:cs="Times New Roman"/>
          <w:sz w:val="24"/>
          <w:szCs w:val="24"/>
        </w:rPr>
        <w:t xml:space="preserve">Кроме того, задача оптимизации портфеля с критерием </w:t>
      </w:r>
      <w:proofErr w:type="spellStart"/>
      <w:r w:rsidR="00B83AF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B83AF1" w:rsidRPr="00B83AF1">
        <w:rPr>
          <w:rFonts w:ascii="Times New Roman" w:hAnsi="Times New Roman" w:cs="Times New Roman"/>
          <w:sz w:val="24"/>
          <w:szCs w:val="24"/>
        </w:rPr>
        <w:t xml:space="preserve"> </w:t>
      </w:r>
      <w:r w:rsidR="00B83AF1">
        <w:rPr>
          <w:rFonts w:ascii="Times New Roman" w:hAnsi="Times New Roman" w:cs="Times New Roman"/>
          <w:sz w:val="24"/>
          <w:szCs w:val="24"/>
        </w:rPr>
        <w:t xml:space="preserve">или с ограничением на величину </w:t>
      </w:r>
      <w:proofErr w:type="spellStart"/>
      <w:r w:rsidR="00B83AF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B83AF1" w:rsidRPr="00B83AF1">
        <w:rPr>
          <w:rFonts w:ascii="Times New Roman" w:hAnsi="Times New Roman" w:cs="Times New Roman"/>
          <w:sz w:val="24"/>
          <w:szCs w:val="24"/>
        </w:rPr>
        <w:t xml:space="preserve"> </w:t>
      </w:r>
      <w:r w:rsidR="00B83AF1">
        <w:rPr>
          <w:rFonts w:ascii="Times New Roman" w:hAnsi="Times New Roman" w:cs="Times New Roman"/>
          <w:sz w:val="24"/>
          <w:szCs w:val="24"/>
        </w:rPr>
        <w:t xml:space="preserve">является невыпуклой. </w:t>
      </w:r>
      <w:r w:rsidR="00474159" w:rsidRPr="006C1576">
        <w:rPr>
          <w:rFonts w:ascii="Times New Roman" w:hAnsi="Times New Roman" w:cs="Times New Roman"/>
          <w:sz w:val="24"/>
          <w:szCs w:val="24"/>
        </w:rPr>
        <w:t xml:space="preserve">Отмеченные недостатки </w:t>
      </w:r>
      <w:proofErr w:type="spellStart"/>
      <w:r w:rsidR="00474159" w:rsidRPr="006C157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474159" w:rsidRPr="006C1576">
        <w:rPr>
          <w:rFonts w:ascii="Times New Roman" w:hAnsi="Times New Roman" w:cs="Times New Roman"/>
          <w:sz w:val="24"/>
          <w:szCs w:val="24"/>
        </w:rPr>
        <w:t xml:space="preserve"> явились стимулом к разработке новой меры риска, которая получила название </w:t>
      </w:r>
      <w:proofErr w:type="spellStart"/>
      <w:r w:rsidR="00474159" w:rsidRPr="006C1576">
        <w:rPr>
          <w:rFonts w:ascii="Times New Roman" w:hAnsi="Times New Roman" w:cs="Times New Roman"/>
          <w:sz w:val="24"/>
          <w:szCs w:val="24"/>
          <w:lang w:val="en-US"/>
        </w:rPr>
        <w:t>CVaR</w:t>
      </w:r>
      <w:proofErr w:type="spellEnd"/>
      <w:r w:rsidR="00474159" w:rsidRPr="006C1576">
        <w:rPr>
          <w:rFonts w:ascii="Times New Roman" w:hAnsi="Times New Roman" w:cs="Times New Roman"/>
          <w:sz w:val="24"/>
          <w:szCs w:val="24"/>
        </w:rPr>
        <w:t xml:space="preserve"> (</w:t>
      </w:r>
      <w:r w:rsidR="00474159" w:rsidRPr="006C1576">
        <w:rPr>
          <w:rFonts w:ascii="Times New Roman" w:hAnsi="Times New Roman" w:cs="Times New Roman"/>
          <w:sz w:val="24"/>
          <w:szCs w:val="24"/>
          <w:lang w:val="en-US"/>
        </w:rPr>
        <w:t>Conditional</w:t>
      </w:r>
      <w:r w:rsidR="00474159" w:rsidRPr="006C1576">
        <w:rPr>
          <w:rFonts w:ascii="Times New Roman" w:hAnsi="Times New Roman" w:cs="Times New Roman"/>
          <w:sz w:val="24"/>
          <w:szCs w:val="24"/>
        </w:rPr>
        <w:t xml:space="preserve"> </w:t>
      </w:r>
      <w:r w:rsidR="00474159" w:rsidRPr="006C157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474159" w:rsidRPr="006C1576">
        <w:rPr>
          <w:rFonts w:ascii="Times New Roman" w:hAnsi="Times New Roman" w:cs="Times New Roman"/>
          <w:sz w:val="24"/>
          <w:szCs w:val="24"/>
        </w:rPr>
        <w:t>-</w:t>
      </w:r>
      <w:r w:rsidR="00474159" w:rsidRPr="006C1576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474159" w:rsidRPr="006C1576">
        <w:rPr>
          <w:rFonts w:ascii="Times New Roman" w:hAnsi="Times New Roman" w:cs="Times New Roman"/>
          <w:sz w:val="24"/>
          <w:szCs w:val="24"/>
        </w:rPr>
        <w:t>-</w:t>
      </w:r>
      <w:r w:rsidR="00474159" w:rsidRPr="006C1576">
        <w:rPr>
          <w:rFonts w:ascii="Times New Roman" w:hAnsi="Times New Roman" w:cs="Times New Roman"/>
          <w:sz w:val="24"/>
          <w:szCs w:val="24"/>
          <w:lang w:val="en-US"/>
        </w:rPr>
        <w:t>Risk</w:t>
      </w:r>
      <w:r w:rsidR="00474159" w:rsidRPr="006C1576">
        <w:rPr>
          <w:rFonts w:ascii="Times New Roman" w:hAnsi="Times New Roman" w:cs="Times New Roman"/>
          <w:sz w:val="24"/>
          <w:szCs w:val="24"/>
        </w:rPr>
        <w:t xml:space="preserve">). В случае непрерывных случайных величин </w:t>
      </w:r>
      <w:proofErr w:type="spellStart"/>
      <w:r w:rsidR="00474159" w:rsidRPr="006C1576">
        <w:rPr>
          <w:rFonts w:ascii="Times New Roman" w:hAnsi="Times New Roman" w:cs="Times New Roman"/>
          <w:sz w:val="24"/>
          <w:szCs w:val="24"/>
          <w:lang w:val="en-US"/>
        </w:rPr>
        <w:t>CVaR</w:t>
      </w:r>
      <w:proofErr w:type="spellEnd"/>
      <w:r w:rsidR="00474159" w:rsidRPr="006C1576">
        <w:rPr>
          <w:rFonts w:ascii="Times New Roman" w:hAnsi="Times New Roman" w:cs="Times New Roman"/>
          <w:sz w:val="24"/>
          <w:szCs w:val="24"/>
        </w:rPr>
        <w:t xml:space="preserve"> определяется как математическое ожидание потерь при условии, что величина потерь превысила уровень </w:t>
      </w:r>
      <w:proofErr w:type="spellStart"/>
      <w:r w:rsidR="00474159" w:rsidRPr="006C157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474159" w:rsidRPr="006C157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2081551599"/>
          <w:citation/>
        </w:sdtPr>
        <w:sdtContent>
          <w:r w:rsidR="00474159"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="00474159"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CITATION RTR00 \l 1049 </w:instrText>
          </w:r>
          <w:r w:rsidR="00474159"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(Rockafellar R.T. and Uryasev S., 2000)</w:t>
          </w:r>
          <w:r w:rsidR="00474159"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="00474159" w:rsidRPr="006C1576">
        <w:rPr>
          <w:rFonts w:ascii="Times New Roman" w:hAnsi="Times New Roman" w:cs="Times New Roman"/>
          <w:sz w:val="24"/>
          <w:szCs w:val="24"/>
        </w:rPr>
        <w:t>:</w:t>
      </w:r>
    </w:p>
    <w:p w14:paraId="01FB535D" w14:textId="55545ED9" w:rsidR="00474159" w:rsidRPr="006C1576" w:rsidRDefault="00474159" w:rsidP="004B3F1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1-β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(</w:t>
      </w:r>
      <w:r w:rsidR="00B83AF1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1B9B6C8" w14:textId="6F2E57DA" w:rsidR="00474159" w:rsidRPr="006C1576" w:rsidRDefault="00474159" w:rsidP="00206E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>Определение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 обеспечивает когерентность 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CVaR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в случае непрерывных случайных величин. Однако применение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 для дискретных случайных величин приводит к нарушению требований когерентности. Поэтому для дискретного случая 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CVaR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несколько по-другому 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-713122073"/>
          <w:citation/>
        </w:sdtPr>
        <w:sdtContent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CITATION Roc02 \l 1033 </w:instrTex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(Rockafellar R.T. and Uryasev S. , 2002)</w: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6CA5DFA3" w14:textId="21EBC424" w:rsidR="00474159" w:rsidRPr="006C1576" w:rsidRDefault="004C3391" w:rsidP="004B3F1C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n∈N|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≥f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-β</m:t>
                    </m:r>
                  </m:e>
                </m:nary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</m:oMath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  .            (</w:t>
      </w:r>
      <w:r w:rsidR="00B83AF1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2815DE9" w14:textId="44300577" w:rsidR="00474159" w:rsidRDefault="00474159" w:rsidP="004B3F1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Здесь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конечное множество значений случайного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вероятность осуществления сценария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при осуществлении сценария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>. Соотношение (</w:t>
      </w:r>
      <w:r w:rsidR="00B83AF1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 задает когерентную меру риска. При увеличении числа сценариев мера (</w:t>
      </w:r>
      <w:r w:rsidR="00B83AF1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 стремится к мере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6EA5BBF" w14:textId="77917B7B" w:rsidR="00AB3784" w:rsidRPr="004A7E88" w:rsidRDefault="00AB3784" w:rsidP="004B3F1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3AC5EB" w14:textId="11B262BF" w:rsidR="00AB3784" w:rsidRPr="00AB3784" w:rsidRDefault="000D25C1" w:rsidP="00AB378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3314C">
        <w:rPr>
          <w:rFonts w:ascii="Times New Roman" w:eastAsiaTheme="minorEastAsia" w:hAnsi="Times New Roman" w:cs="Times New Roman"/>
          <w:b/>
          <w:sz w:val="24"/>
          <w:szCs w:val="24"/>
        </w:rPr>
        <w:t>Статическая о</w:t>
      </w:r>
      <w:r w:rsidR="00AB3784" w:rsidRPr="00AB3784">
        <w:rPr>
          <w:rFonts w:ascii="Times New Roman" w:eastAsiaTheme="minorEastAsia" w:hAnsi="Times New Roman" w:cs="Times New Roman"/>
          <w:b/>
          <w:sz w:val="24"/>
          <w:szCs w:val="24"/>
        </w:rPr>
        <w:t xml:space="preserve">птимизация портфеля по критерию </w:t>
      </w:r>
      <w:proofErr w:type="spellStart"/>
      <w:r w:rsidR="00AB3784" w:rsidRPr="00AB378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CVaR</w:t>
      </w:r>
      <w:proofErr w:type="spellEnd"/>
    </w:p>
    <w:p w14:paraId="28C79F84" w14:textId="77777777" w:rsidR="00AB3784" w:rsidRPr="006C1576" w:rsidRDefault="00AB3784" w:rsidP="004B3F1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FC8A7D" w14:textId="77777777" w:rsidR="00474159" w:rsidRPr="006C1576" w:rsidRDefault="00474159" w:rsidP="00206E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Если распределение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задано множеством сценариев, то оптимизация инвестиционного портфеля по критерию минимума 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CVaR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может быть представлена как задача линейного программирования. Введем дополнительные переменные </w:t>
      </w:r>
    </w:p>
    <w:p w14:paraId="1E59A4E5" w14:textId="3A6911A9" w:rsidR="00474159" w:rsidRPr="006C1576" w:rsidRDefault="004C3391" w:rsidP="004B3F1C">
      <w:pPr>
        <w:spacing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e>
        </m:d>
      </m:oMath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n∈N</m:t>
        </m:r>
      </m:oMath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017A39B" w14:textId="77777777" w:rsidR="00474159" w:rsidRPr="006C1576" w:rsidRDefault="00474159" w:rsidP="004B3F1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>Тогда</w:t>
      </w:r>
    </w:p>
    <w:p w14:paraId="55EC56E9" w14:textId="77777777" w:rsidR="00474159" w:rsidRPr="006C1576" w:rsidRDefault="004C3391" w:rsidP="004B3F1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≥f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∈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bSup>
                  </m:e>
                </m:nary>
              </m:e>
            </m:nary>
          </m:e>
        </m:nary>
      </m:oMath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CF0E2C" w14:textId="77777777" w:rsidR="00474159" w:rsidRPr="006C1576" w:rsidRDefault="00474159" w:rsidP="004B3F1C">
      <w:pPr>
        <w:spacing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</m:d>
              </m:e>
            </m:nary>
          </m:e>
        </m:nary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05F8C8C" w14:textId="77777777" w:rsidR="00474159" w:rsidRPr="006C1576" w:rsidRDefault="00474159" w:rsidP="004B3F1C">
      <w:pPr>
        <w:spacing w:line="360" w:lineRule="auto"/>
        <w:ind w:left="1701" w:hanging="141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nary>
          </m:e>
        </m:nary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9F932D" w14:textId="77777777" w:rsidR="00474159" w:rsidRPr="006C1576" w:rsidRDefault="00474159" w:rsidP="004B3F1C">
      <w:pPr>
        <w:spacing w:line="360" w:lineRule="auto"/>
        <w:ind w:left="1701" w:hanging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∈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≥f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DE07A7" w14:textId="77777777" w:rsidR="00474159" w:rsidRPr="006C1576" w:rsidRDefault="00474159" w:rsidP="004B3F1C">
      <w:pPr>
        <w:spacing w:line="360" w:lineRule="auto"/>
        <w:ind w:left="1701" w:hanging="170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Разделив обе части равенства на </w:t>
      </w:r>
      <m:oMath>
        <m:r>
          <w:rPr>
            <w:rFonts w:ascii="Cambria Math" w:hAnsi="Cambria Math" w:cs="Times New Roman"/>
            <w:sz w:val="24"/>
            <w:szCs w:val="24"/>
          </w:rPr>
          <m:t>1-β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и перегруппировав слагаемые, получим:</w:t>
      </w:r>
    </w:p>
    <w:p w14:paraId="10D87780" w14:textId="77777777" w:rsidR="00474159" w:rsidRPr="006C1576" w:rsidRDefault="00474159" w:rsidP="004B3F1C">
      <w:pPr>
        <w:spacing w:line="360" w:lineRule="auto"/>
        <w:ind w:left="709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∈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≥f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6D1748" w14:textId="40994254" w:rsidR="00474159" w:rsidRPr="006C1576" w:rsidRDefault="00474159" w:rsidP="004B3F1C">
      <w:pPr>
        <w:spacing w:line="360" w:lineRule="auto"/>
        <w:ind w:left="851" w:firstLine="297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1-β</m:t>
            </m:r>
          </m:den>
        </m:f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322FE53" w14:textId="20A87EFA" w:rsidR="00474159" w:rsidRPr="006C1576" w:rsidRDefault="00474159" w:rsidP="00206E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>Сравнивая выражения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 и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), приходим к выводу, что левая часть равенства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 есть соответствующее значение 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CVaR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>. Используя соотношение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Rockafellar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Uryasev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-878769474"/>
          <w:citation/>
        </w:sdtPr>
        <w:sdtContent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CITATION Roc02 \l 1033 </w:instrTex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(Rockafellar R.T. and Uryasev S. , 2002)</w: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показали, что если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линейная функция по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то оптимизация портфеля по критерию минимума 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CVaR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может быть осуществлена путем решения следующей задачи линейного программирования:</w:t>
      </w:r>
    </w:p>
    <w:p w14:paraId="70836F78" w14:textId="0700D730" w:rsidR="00474159" w:rsidRPr="006C1576" w:rsidRDefault="004C3391" w:rsidP="004B3F1C">
      <w:pPr>
        <w:spacing w:line="360" w:lineRule="auto"/>
        <w:ind w:left="283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func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bSup>
          </m:e>
        </m:nary>
      </m:oMath>
      <w:r w:rsidR="00206E3E">
        <w:rPr>
          <w:rFonts w:ascii="Times New Roman" w:eastAsiaTheme="minorEastAsia" w:hAnsi="Times New Roman" w:cs="Times New Roman"/>
          <w:sz w:val="24"/>
          <w:szCs w:val="24"/>
        </w:rPr>
        <w:tab/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ab/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ab/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D584D12" w14:textId="73C96E36" w:rsidR="00474159" w:rsidRPr="006C1576" w:rsidRDefault="00474159" w:rsidP="004B3F1C">
      <w:pPr>
        <w:spacing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α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∈R,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6C1576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ab/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   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11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F91B3D5" w14:textId="2E640AB9" w:rsidR="00474159" w:rsidRPr="006C1576" w:rsidRDefault="004C3391" w:rsidP="004B3F1C">
      <w:pPr>
        <w:spacing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206E3E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w:r w:rsidR="00206E3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206E3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474159" w:rsidRPr="006C157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74159" w:rsidRPr="006C1576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        </w:t>
      </w:r>
      <w:r w:rsidR="00206E3E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</w:t>
      </w:r>
      <w:r w:rsidR="00474159" w:rsidRPr="006C157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12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3ACDBCD" w14:textId="1D15C5F7" w:rsidR="00474159" w:rsidRPr="006C1576" w:rsidRDefault="004C3391" w:rsidP="004B3F1C">
      <w:pPr>
        <w:spacing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-α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474159" w:rsidRPr="006C1576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 w:rsidR="00474159" w:rsidRPr="006C1576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474159" w:rsidRPr="006C1576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474159" w:rsidRPr="006C1576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474159" w:rsidRPr="006C1576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       </w:t>
      </w:r>
      <w:r w:rsidR="00474159" w:rsidRPr="006C1576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       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>(1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474159"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979371E" w14:textId="3A08453E" w:rsidR="00474159" w:rsidRPr="006C1576" w:rsidRDefault="00474159" w:rsidP="004B3F1C">
      <w:pPr>
        <w:spacing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</m:oMath>
      <w:r w:rsidRPr="006C157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(1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A44461A" w14:textId="5EC266ED" w:rsidR="00474159" w:rsidRPr="006C1576" w:rsidRDefault="00474159" w:rsidP="004B3F1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(1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84222DF" w14:textId="4DE1A164" w:rsidR="00474159" w:rsidRPr="006C1576" w:rsidRDefault="00474159" w:rsidP="00206E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В последнем ограничении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– функция затрат на формирование портфеля, которая </w:t>
      </w:r>
      <w:r w:rsidR="00390665">
        <w:rPr>
          <w:rFonts w:ascii="Times New Roman" w:eastAsiaTheme="minorEastAsia" w:hAnsi="Times New Roman" w:cs="Times New Roman"/>
          <w:sz w:val="24"/>
          <w:szCs w:val="24"/>
        </w:rPr>
        <w:t xml:space="preserve">также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предполагается линейной.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может учитывать рыночные котировки </w:t>
      </w:r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bid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offer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, комиссионные издержки, возможность покупки и продажи (в том числе короткой продажи) финансовых инструментов. Символом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обозначена начальная стоимость портфеля. Т.о., (1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 представляет собой бюджетное ограничение.</w:t>
      </w:r>
    </w:p>
    <w:p w14:paraId="3C408D2B" w14:textId="4833C35F" w:rsidR="00474159" w:rsidRPr="006C1576" w:rsidRDefault="00474159" w:rsidP="00206E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>Неравенство (1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 задает ограничение на среднюю ожидаемую прибыль портфеля: математическое ожидание прибыли не должно быть меньше заданной величины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>. Ограничения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12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 и (1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 обеспечивают принятие переменными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6C1576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значений, заданных формулой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), в результате оптимизации по критерию (</w:t>
      </w:r>
      <w:r w:rsidR="00206E3E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13748164" w14:textId="52D8F50F" w:rsidR="00474159" w:rsidRDefault="00474159" w:rsidP="001273C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-1540654841"/>
          <w:citation/>
        </w:sdtPr>
        <w:sdtContent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>CITATION</w:instrTex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</w:instrTex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>Roc</w:instrTex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instrText>02 \</w:instrTex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>l</w:instrTex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1033 </w:instrTex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>Rockafellar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 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>R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.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>T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. 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>and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 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>Uryasev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 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>S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. , 2002)</w:t>
          </w:r>
          <w:r w:rsidRPr="006C157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доказывается, что в результате решения задачи (</w:t>
      </w:r>
      <w:r w:rsidR="0044751D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 – (1</w:t>
      </w:r>
      <w:r w:rsidR="0044751D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>) целевая функция принимает значение</w:t>
      </w:r>
      <w:r w:rsidRPr="006C157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(т.е., значение 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CVaR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>, см. формулу (</w:t>
      </w:r>
      <w:r w:rsidR="00DB4C77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)). Кроме этого, в результате оптимизации переменная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α</m:t>
        </m:r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принимает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</m:d>
      </m:oMath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(формула (</w:t>
      </w:r>
      <w:r w:rsidR="00DB4C77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)). Таким образом, одновременно с оптимизацией по критерию минимума 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CVaR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 xml:space="preserve"> получается соответствующее значение </w:t>
      </w:r>
      <w:proofErr w:type="spellStart"/>
      <w:r w:rsidRPr="006C1576">
        <w:rPr>
          <w:rFonts w:ascii="Times New Roman" w:eastAsiaTheme="minorEastAsia" w:hAnsi="Times New Roman" w:cs="Times New Roman"/>
          <w:sz w:val="24"/>
          <w:szCs w:val="24"/>
          <w:lang w:val="en-US"/>
        </w:rPr>
        <w:t>VaR</w:t>
      </w:r>
      <w:proofErr w:type="spellEnd"/>
      <w:r w:rsidRPr="006C15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5B90AC7" w14:textId="77777777" w:rsidR="004B3F1C" w:rsidRDefault="004B3F1C" w:rsidP="00DB4C7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4F4D3F" w14:textId="2238EE11" w:rsidR="00E60A23" w:rsidRPr="00E60A23" w:rsidRDefault="00E60A23" w:rsidP="00E60A2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60A23">
        <w:rPr>
          <w:rFonts w:ascii="Times New Roman" w:eastAsiaTheme="minorEastAsia" w:hAnsi="Times New Roman" w:cs="Times New Roman"/>
          <w:b/>
          <w:sz w:val="24"/>
          <w:szCs w:val="24"/>
        </w:rPr>
        <w:t xml:space="preserve"> Динамическая оптимизация портфеля по критерию </w:t>
      </w:r>
      <w:proofErr w:type="spellStart"/>
      <w:r w:rsidRPr="00E60A23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CVaR</w:t>
      </w:r>
      <w:proofErr w:type="spellEnd"/>
    </w:p>
    <w:p w14:paraId="0659011B" w14:textId="77777777" w:rsidR="00E60A23" w:rsidRDefault="00E60A23" w:rsidP="007B21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A6372A" w14:textId="24AF0E1D" w:rsidR="007B214C" w:rsidRDefault="007B214C" w:rsidP="007B2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D03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>
        <w:rPr>
          <w:rFonts w:ascii="Times New Roman" w:hAnsi="Times New Roman" w:cs="Times New Roman"/>
          <w:sz w:val="24"/>
          <w:szCs w:val="24"/>
        </w:rPr>
        <w:t>решения задачи (</w:t>
      </w:r>
      <w:r w:rsidR="00460B26" w:rsidRPr="00460B2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 – (1</w:t>
      </w:r>
      <w:r w:rsidR="00460B26" w:rsidRPr="00460B2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получается оптимальный в рассмотренном смысле статический портфель финансовых инструментов, который формируется (или переформируется) в начальный момент времени и удерживается до конца горизонта планирования. Очевидно, что в общем случае лучших результатов можно достичь, если иметь возможность перестройки портфеля в течение данного интервала. Отметим, что совершенное хеджирование нелинейных производных финансовых инструментов (таких как опционы) традиционно реализуется как динамическая процедура. </w:t>
      </w:r>
    </w:p>
    <w:p w14:paraId="759EFAB4" w14:textId="77777777" w:rsidR="007B214C" w:rsidRDefault="007B214C" w:rsidP="007B2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Оптимизируя портфель в текущий (нулевой) момент времени, необходимо учитывать, какие действия по перестройке портфеля будут предприняты в будущем при реализации различных траекторий факторов неопределенности. В современном стохастическом программировании рассматривают конечное число моментов времени, которые называют </w:t>
      </w:r>
      <w:r w:rsidRPr="00A27ED2">
        <w:rPr>
          <w:rFonts w:ascii="Times New Roman" w:hAnsi="Times New Roman" w:cs="Times New Roman"/>
          <w:i/>
          <w:sz w:val="24"/>
          <w:szCs w:val="24"/>
        </w:rPr>
        <w:t>этапами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E128AB">
        <w:rPr>
          <w:rFonts w:ascii="Times New Roman" w:hAnsi="Times New Roman" w:cs="Times New Roman"/>
          <w:i/>
          <w:sz w:val="24"/>
          <w:szCs w:val="24"/>
        </w:rPr>
        <w:t>стадиями</w:t>
      </w:r>
      <w:r>
        <w:rPr>
          <w:rFonts w:ascii="Times New Roman" w:hAnsi="Times New Roman" w:cs="Times New Roman"/>
          <w:sz w:val="24"/>
          <w:szCs w:val="24"/>
        </w:rPr>
        <w:t xml:space="preserve">. Только в эти моменты времени становятся известны значения факторов неопределенности и реализуются управленческие решения. </w:t>
      </w:r>
    </w:p>
    <w:p w14:paraId="6F04D149" w14:textId="77777777" w:rsidR="007B214C" w:rsidRDefault="007B214C" w:rsidP="007B21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T=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</m:oMath>
      <w:r w:rsidRPr="002F60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множество рассматриваемых моментов времени. Элемент множества «1» соответствует текущему моменту, элемент «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» - концу горизонта планирования. Факторы неопределенности представляются вектором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подвекторы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sup>
        </m:sSup>
      </m:oMath>
      <w:r w:rsidRPr="004E4D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наблюдаются в моменты 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T=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Историю наблюдений факторов неопределенности будем обозначать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CMR10"/>
          </w:rPr>
          <m:t>:=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A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CMR10"/>
          </w:rPr>
          <m:t>:=</m:t>
        </m:r>
        <m:nary>
          <m:naryPr>
            <m:chr m:val="∑"/>
            <m:limLoc m:val="subSup"/>
            <m:ctrlPr>
              <w:rPr>
                <w:rFonts w:ascii="Cambria Math" w:hAnsi="Cambria Math" w:cs="CMR10"/>
              </w:rPr>
            </m:ctrlPr>
          </m:naryPr>
          <m:sub>
            <m:r>
              <w:rPr>
                <w:rFonts w:ascii="Cambria Math" w:hAnsi="Cambria Math" w:cs="CMR10"/>
              </w:rPr>
              <m:t>s=1</m:t>
            </m:r>
          </m:sub>
          <m:sup>
            <m:r>
              <w:rPr>
                <w:rFonts w:ascii="Cambria Math" w:hAnsi="Cambria Math" w:cs="CMR10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J</m:t>
                </m:r>
              </m:e>
              <m:sub>
                <m:r>
                  <w:rPr>
                    <w:rFonts w:ascii="Cambria Math" w:hAnsi="Cambria Math" w:cs="CMR10"/>
                  </w:rPr>
                  <m:t>s</m:t>
                </m:r>
              </m:sub>
            </m:sSub>
          </m:e>
        </m:nary>
      </m:oMath>
      <w:r w:rsidRPr="002A4302">
        <w:rPr>
          <w:rFonts w:ascii="Times New Roman" w:eastAsiaTheme="minorEastAsia" w:hAnsi="Times New Roman" w:cs="Times New Roman"/>
        </w:rPr>
        <w:t>.</w:t>
      </w:r>
    </w:p>
    <w:p w14:paraId="26DDCE23" w14:textId="33120FF3" w:rsidR="007B214C" w:rsidRDefault="007B214C" w:rsidP="007B21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</m:oMath>
      <w:r w:rsidRPr="0020089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планируется для момента 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условии, что последовательность векторов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уже стала известна, но будущие значения факторов неопределенности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s&gt;t</m:t>
            </m:r>
          </m:sub>
        </m:sSub>
      </m:oMath>
      <w:r w:rsidRPr="003F46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еще не наблюдались. Таким образом, в момент времени «1», когда проводится оптимизация портфеля,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уже известен. </w:t>
      </w:r>
      <w:r w:rsidR="00FA6519">
        <w:rPr>
          <w:rFonts w:ascii="Times New Roman" w:eastAsiaTheme="minorEastAsia" w:hAnsi="Times New Roman" w:cs="Times New Roman"/>
          <w:sz w:val="24"/>
          <w:szCs w:val="24"/>
        </w:rPr>
        <w:t xml:space="preserve">В последующие моменты времени возможные реализации векторов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 w:rsidR="00FA65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FA6519">
        <w:rPr>
          <w:rFonts w:ascii="Times New Roman" w:eastAsiaTheme="minorEastAsia" w:hAnsi="Times New Roman" w:cs="Times New Roman"/>
          <w:sz w:val="24"/>
          <w:szCs w:val="24"/>
        </w:rPr>
        <w:t xml:space="preserve"> в предлагаемом исследовании задаются при помощи дерева сценариев. </w:t>
      </w:r>
      <w:r>
        <w:rPr>
          <w:rFonts w:ascii="Times New Roman" w:eastAsiaTheme="minorEastAsia" w:hAnsi="Times New Roman" w:cs="Times New Roman"/>
          <w:sz w:val="24"/>
          <w:szCs w:val="24"/>
        </w:rPr>
        <w:t>Задача многоэтапного стохастического программирования заключается в том, чтобы найти последовательность решений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, 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 w:rsidRPr="0019745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которая удовлетворяет ограничениям оптимизационной задачи и доставляет минимум целевой функции. Заметим, что только 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непосредственно реализуется. </w:t>
      </w:r>
    </w:p>
    <w:p w14:paraId="5F384D41" w14:textId="77777777" w:rsidR="00C9781C" w:rsidRPr="00397396" w:rsidRDefault="0048424A" w:rsidP="003973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B8B">
        <w:rPr>
          <w:rFonts w:ascii="Times New Roman" w:hAnsi="Times New Roman" w:cs="Times New Roman"/>
          <w:sz w:val="24"/>
          <w:szCs w:val="24"/>
        </w:rPr>
        <w:tab/>
      </w:r>
      <w:r w:rsidRPr="00397396">
        <w:rPr>
          <w:rFonts w:ascii="Times New Roman" w:hAnsi="Times New Roman" w:cs="Times New Roman"/>
          <w:sz w:val="24"/>
          <w:szCs w:val="24"/>
        </w:rPr>
        <w:t xml:space="preserve">Помимо требований когерентности к мерам риска, используемым в задачах многоэтапного стохастического программирования, предъявляется требование </w:t>
      </w:r>
      <w:r w:rsidRPr="00397396">
        <w:rPr>
          <w:rFonts w:ascii="Times New Roman" w:hAnsi="Times New Roman" w:cs="Times New Roman"/>
          <w:i/>
          <w:sz w:val="24"/>
          <w:szCs w:val="24"/>
        </w:rPr>
        <w:t xml:space="preserve">согласованности во времени </w:t>
      </w:r>
      <w:r w:rsidRPr="00397396">
        <w:rPr>
          <w:rFonts w:ascii="Times New Roman" w:hAnsi="Times New Roman" w:cs="Times New Roman"/>
          <w:sz w:val="24"/>
          <w:szCs w:val="24"/>
        </w:rPr>
        <w:t>(</w:t>
      </w:r>
      <w:r w:rsidRPr="00397396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97396">
        <w:rPr>
          <w:rFonts w:ascii="Times New Roman" w:hAnsi="Times New Roman" w:cs="Times New Roman"/>
          <w:sz w:val="24"/>
          <w:szCs w:val="24"/>
        </w:rPr>
        <w:t xml:space="preserve"> </w:t>
      </w:r>
      <w:r w:rsidRPr="00397396">
        <w:rPr>
          <w:rFonts w:ascii="Times New Roman" w:hAnsi="Times New Roman" w:cs="Times New Roman"/>
          <w:sz w:val="24"/>
          <w:szCs w:val="24"/>
          <w:lang w:val="en-US"/>
        </w:rPr>
        <w:t>consistency</w:t>
      </w:r>
      <w:r w:rsidRPr="00397396">
        <w:rPr>
          <w:rFonts w:ascii="Times New Roman" w:hAnsi="Times New Roman" w:cs="Times New Roman"/>
          <w:sz w:val="24"/>
          <w:szCs w:val="24"/>
        </w:rPr>
        <w:t xml:space="preserve">). </w:t>
      </w:r>
      <w:r w:rsidR="00BA7ABB" w:rsidRPr="00397396">
        <w:rPr>
          <w:rFonts w:ascii="Times New Roman" w:hAnsi="Times New Roman" w:cs="Times New Roman"/>
          <w:sz w:val="24"/>
          <w:szCs w:val="24"/>
        </w:rPr>
        <w:t xml:space="preserve">Содержательно данное требование означает, что </w:t>
      </w:r>
      <w:r w:rsidR="00AF794A" w:rsidRPr="00397396">
        <w:rPr>
          <w:rFonts w:ascii="Times New Roman" w:hAnsi="Times New Roman" w:cs="Times New Roman"/>
          <w:sz w:val="24"/>
          <w:szCs w:val="24"/>
        </w:rPr>
        <w:t>управляющие воздействия, запланированные в начальный момент времени для некоторого узла дерева, будут снова получены при решении оптимизационной задачи, когда соответствующий сценарий реализуется и данный узел станет корневым узлом нового де</w:t>
      </w:r>
      <w:r w:rsidR="00FB1E0A" w:rsidRPr="00397396">
        <w:rPr>
          <w:rFonts w:ascii="Times New Roman" w:hAnsi="Times New Roman" w:cs="Times New Roman"/>
          <w:sz w:val="24"/>
          <w:szCs w:val="24"/>
        </w:rPr>
        <w:t xml:space="preserve">рева (которое представляет собой поддерево исходного дерева). </w:t>
      </w:r>
    </w:p>
    <w:p w14:paraId="3EBFCAEA" w14:textId="3480A897" w:rsidR="00C9781C" w:rsidRPr="00397396" w:rsidRDefault="00E4580E" w:rsidP="00397396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2E2E2E"/>
        </w:rPr>
      </w:pPr>
      <w:r w:rsidRPr="00397396">
        <w:rPr>
          <w:rFonts w:ascii="Times New Roman" w:hAnsi="Times New Roman" w:cs="Times New Roman"/>
          <w:sz w:val="24"/>
          <w:szCs w:val="24"/>
        </w:rPr>
        <w:t xml:space="preserve">На рис.1 представлен пример дерева сценариев для одного фактора риска. Рекомендации, полученные в начальный момент времени </w:t>
      </w:r>
      <w:r w:rsidR="008D6C64" w:rsidRPr="00397396">
        <w:rPr>
          <w:rFonts w:ascii="Times New Roman" w:hAnsi="Times New Roman" w:cs="Times New Roman"/>
          <w:sz w:val="24"/>
          <w:szCs w:val="24"/>
        </w:rPr>
        <w:t xml:space="preserve">для, например, узла, обозначенного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17,16</m:t>
            </m:r>
          </m:e>
        </m:d>
      </m:oMath>
      <w:r w:rsidR="008D6C64" w:rsidRPr="00397396">
        <w:rPr>
          <w:rFonts w:ascii="Times New Roman" w:eastAsiaTheme="minorEastAsia" w:hAnsi="Times New Roman" w:cs="Times New Roman"/>
          <w:sz w:val="24"/>
          <w:szCs w:val="24"/>
        </w:rPr>
        <w:t>, должны вновь быть получены, когда реализуются значения факторов неопределенности, соответствующие данному узлу</w:t>
      </w:r>
      <w:r w:rsidR="008B59A9" w:rsidRPr="00397396">
        <w:rPr>
          <w:rFonts w:ascii="Times New Roman" w:eastAsiaTheme="minorEastAsia" w:hAnsi="Times New Roman" w:cs="Times New Roman"/>
          <w:sz w:val="24"/>
          <w:szCs w:val="24"/>
        </w:rPr>
        <w:t xml:space="preserve">, и он становится корневым узлом дерева, содержащего два оставшиеся этапа. По сути, согласованность во времени представляет </w:t>
      </w:r>
      <w:proofErr w:type="gramStart"/>
      <w:r w:rsidR="008B59A9" w:rsidRPr="00397396">
        <w:rPr>
          <w:rFonts w:ascii="Times New Roman" w:eastAsiaTheme="minorEastAsia" w:hAnsi="Times New Roman" w:cs="Times New Roman"/>
          <w:sz w:val="24"/>
          <w:szCs w:val="24"/>
        </w:rPr>
        <w:t xml:space="preserve">собой  </w:t>
      </w:r>
      <w:proofErr w:type="spellStart"/>
      <w:r w:rsidR="0030363D" w:rsidRPr="00397396">
        <w:rPr>
          <w:rFonts w:ascii="Times New Roman" w:eastAsiaTheme="minorEastAsia" w:hAnsi="Times New Roman" w:cs="Times New Roman"/>
          <w:sz w:val="24"/>
          <w:szCs w:val="24"/>
        </w:rPr>
        <w:t>беллмановское</w:t>
      </w:r>
      <w:proofErr w:type="spellEnd"/>
      <w:proofErr w:type="gramEnd"/>
      <w:r w:rsidR="0030363D" w:rsidRPr="00397396">
        <w:rPr>
          <w:rFonts w:ascii="Times New Roman" w:eastAsiaTheme="minorEastAsia" w:hAnsi="Times New Roman" w:cs="Times New Roman"/>
          <w:sz w:val="24"/>
          <w:szCs w:val="24"/>
        </w:rPr>
        <w:t xml:space="preserve"> свойство, на котором основывается детерминированное </w:t>
      </w:r>
      <w:r w:rsidR="0030363D" w:rsidRPr="0039739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динамическое программирование. Однако, при включении в задачу неопределенности для его выполнения требуются дополнительные меры. Практические последствия нарушения свойства согласованности во времени анализируются, например, в 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1836650835"/>
          <w:citation/>
        </w:sdtPr>
        <w:sdtContent>
          <w:r w:rsidR="00C9781C" w:rsidRPr="0039739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="00A22B8B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CITATION Bir \l 1033 </w:instrText>
          </w:r>
          <w:r w:rsidR="00C9781C" w:rsidRPr="0039739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(Birgit Rudloffa, Alexandre Street, Davi M. Valladão, 2014)</w:t>
          </w:r>
          <w:r w:rsidR="00C9781C" w:rsidRPr="0039739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="005202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57CE859" w14:textId="0E61F629" w:rsidR="00C9781C" w:rsidRPr="00397396" w:rsidRDefault="00C9781C" w:rsidP="00397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633E21" w14:textId="0DA85AC1" w:rsidR="00E4580E" w:rsidRPr="00C9781C" w:rsidRDefault="00E4580E" w:rsidP="004842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E1918" w14:textId="3AB58F20" w:rsidR="00BA7ABB" w:rsidRDefault="00BA7ABB" w:rsidP="004842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09D8F" w14:textId="562C44CF" w:rsidR="00BA7ABB" w:rsidRPr="00C9781C" w:rsidRDefault="00BA7ABB" w:rsidP="004842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A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58A65E" wp14:editId="12F356F1">
            <wp:extent cx="5548291" cy="487906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291" cy="48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0EBE" w14:textId="0C32DB34" w:rsidR="007B214C" w:rsidRDefault="007B214C" w:rsidP="007B214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6100C05" w14:textId="2F869E65" w:rsidR="00BA7ABB" w:rsidRPr="00BA7ABB" w:rsidRDefault="00BA7ABB" w:rsidP="00BA7A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Пример дерева сценариев для одного фактора риска.</w:t>
      </w:r>
    </w:p>
    <w:p w14:paraId="71CB6043" w14:textId="618A084B" w:rsidR="00E60A23" w:rsidRDefault="00E60A23" w:rsidP="005329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6D07EE" w14:textId="7E2DFFB9" w:rsidR="00532933" w:rsidRDefault="00F54209" w:rsidP="005329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Задача (10) – (15) </w:t>
      </w:r>
      <w:r w:rsidR="00DA3432">
        <w:rPr>
          <w:rFonts w:ascii="Times New Roman" w:eastAsiaTheme="minorEastAsia" w:hAnsi="Times New Roman" w:cs="Times New Roman"/>
          <w:sz w:val="24"/>
          <w:szCs w:val="24"/>
        </w:rPr>
        <w:t>может быть обобщена на много</w:t>
      </w:r>
      <w:r w:rsidR="000A6E35">
        <w:rPr>
          <w:rFonts w:ascii="Times New Roman" w:eastAsiaTheme="minorEastAsia" w:hAnsi="Times New Roman" w:cs="Times New Roman"/>
          <w:sz w:val="24"/>
          <w:szCs w:val="24"/>
        </w:rPr>
        <w:t>этапный</w:t>
      </w:r>
      <w:r w:rsidR="00DA3432">
        <w:rPr>
          <w:rFonts w:ascii="Times New Roman" w:eastAsiaTheme="minorEastAsia" w:hAnsi="Times New Roman" w:cs="Times New Roman"/>
          <w:sz w:val="24"/>
          <w:szCs w:val="24"/>
        </w:rPr>
        <w:t xml:space="preserve"> случай. </w:t>
      </w:r>
      <w:r w:rsidR="00F64332">
        <w:rPr>
          <w:rFonts w:ascii="Times New Roman" w:eastAsiaTheme="minorEastAsia" w:hAnsi="Times New Roman" w:cs="Times New Roman"/>
          <w:sz w:val="24"/>
          <w:szCs w:val="24"/>
        </w:rPr>
        <w:t xml:space="preserve">Наивный подход к такому обобщению заключается в том, чтобы </w:t>
      </w:r>
      <w:r w:rsidR="00591105">
        <w:rPr>
          <w:rFonts w:ascii="Times New Roman" w:eastAsiaTheme="minorEastAsia" w:hAnsi="Times New Roman" w:cs="Times New Roman"/>
          <w:sz w:val="24"/>
          <w:szCs w:val="24"/>
        </w:rPr>
        <w:t xml:space="preserve">вместо потерь за один период рассматривать суммарные потери за все периоды горизонта планирования. </w:t>
      </w:r>
      <w:r w:rsidR="003A44EA">
        <w:rPr>
          <w:rFonts w:ascii="Times New Roman" w:eastAsiaTheme="minorEastAsia" w:hAnsi="Times New Roman" w:cs="Times New Roman"/>
          <w:sz w:val="24"/>
          <w:szCs w:val="24"/>
        </w:rPr>
        <w:t xml:space="preserve">Однако, такой подход приводит к нарушению требования согласованности во времени. </w:t>
      </w:r>
    </w:p>
    <w:p w14:paraId="7116FC9C" w14:textId="00CFF571" w:rsidR="001C0326" w:rsidRPr="00A6689E" w:rsidRDefault="00CD7B6F" w:rsidP="00F45BB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Многоэтапная задача оптимизации портфеля по критерию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CVaR</w:t>
      </w:r>
      <w:proofErr w:type="spellEnd"/>
      <w:r w:rsidRPr="00CD7B6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удовлетворяющая требованию согласованности во времени, была предложена в</w:t>
      </w:r>
      <w:r w:rsidR="00F45BBF">
        <w:rPr>
          <w:rFonts w:ascii="Times New Roman" w:eastAsiaTheme="minorEastAsia" w:hAnsi="Times New Roman" w:cs="Times New Roman"/>
          <w:sz w:val="24"/>
          <w:szCs w:val="24"/>
        </w:rPr>
        <w:t xml:space="preserve"> диссертации </w:t>
      </w:r>
      <w:r w:rsidR="00F45BBF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F45BBF" w:rsidRPr="00F45BB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="00F45BBF">
        <w:rPr>
          <w:rFonts w:ascii="Times New Roman" w:eastAsiaTheme="minorEastAsia" w:hAnsi="Times New Roman" w:cs="Times New Roman"/>
          <w:sz w:val="24"/>
          <w:szCs w:val="24"/>
          <w:lang w:val="en-US"/>
        </w:rPr>
        <w:t>Troha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-754120746"/>
          <w:citation/>
        </w:sdtPr>
        <w:sdtContent>
          <w:r w:rsidR="00AF6448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="00AF6448" w:rsidRPr="00AF6448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</w:instrText>
          </w:r>
          <w:r w:rsidR="00AF6448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>CITATION</w:instrText>
          </w:r>
          <w:r w:rsidR="00AF6448" w:rsidRPr="00AF6448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</w:instrText>
          </w:r>
          <w:r w:rsidR="00AF6448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>Tro</w:instrText>
          </w:r>
          <w:r w:rsidR="00AF6448" w:rsidRPr="00AF6448">
            <w:rPr>
              <w:rFonts w:ascii="Times New Roman" w:eastAsiaTheme="minorEastAsia" w:hAnsi="Times New Roman" w:cs="Times New Roman"/>
              <w:sz w:val="24"/>
              <w:szCs w:val="24"/>
            </w:rPr>
            <w:instrText>11 \</w:instrText>
          </w:r>
          <w:r w:rsidR="00AF6448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>l</w:instrText>
          </w:r>
          <w:r w:rsidR="00AF6448" w:rsidRPr="00AF6448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1033 </w:instrText>
          </w:r>
          <w:r w:rsidR="00AF6448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>Troha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, </w:t>
          </w:r>
          <w:r w:rsidR="00AF6448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lastRenderedPageBreak/>
            <w:t>2011)</w:t>
          </w:r>
          <w:r w:rsidR="00AF6448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="00AF6448" w:rsidRPr="00AF64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45BBF">
        <w:rPr>
          <w:rFonts w:ascii="Times New Roman" w:eastAsiaTheme="minorEastAsia" w:hAnsi="Times New Roman" w:cs="Times New Roman"/>
          <w:sz w:val="24"/>
          <w:szCs w:val="24"/>
        </w:rPr>
        <w:t>Модель оптимизации портфеля свопов, разработанная в следующем разделе, основана на результатах данной диссертации.</w:t>
      </w:r>
    </w:p>
    <w:p w14:paraId="66786913" w14:textId="704A0699" w:rsidR="00993E89" w:rsidRDefault="00993E89" w:rsidP="0016475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FD33FE" w14:textId="27278654" w:rsidR="00BE73C0" w:rsidRDefault="00BE73C0" w:rsidP="00BE73C0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Задача оптимизации хеджирующего портфеля свопов</w:t>
      </w:r>
    </w:p>
    <w:p w14:paraId="32591E6E" w14:textId="1FF13A9A" w:rsidR="00BE73C0" w:rsidRDefault="00BE73C0" w:rsidP="00BE73C0"/>
    <w:p w14:paraId="0461FB38" w14:textId="32ED9F25" w:rsidR="00BE73C0" w:rsidRDefault="003F2C2E" w:rsidP="00807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узлов дерева</w:t>
      </w:r>
      <w:r w:rsidR="00D61134">
        <w:rPr>
          <w:rFonts w:ascii="Times New Roman" w:hAnsi="Times New Roman" w:cs="Times New Roman"/>
          <w:sz w:val="24"/>
          <w:szCs w:val="24"/>
        </w:rPr>
        <w:t xml:space="preserve"> сценариев</w:t>
      </w:r>
      <w:r>
        <w:rPr>
          <w:rFonts w:ascii="Times New Roman" w:hAnsi="Times New Roman" w:cs="Times New Roman"/>
          <w:sz w:val="24"/>
          <w:szCs w:val="24"/>
        </w:rPr>
        <w:t xml:space="preserve">, относящихся к этапу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 w:rsidR="00D61134">
        <w:rPr>
          <w:rFonts w:ascii="Times New Roman" w:eastAsiaTheme="minorEastAsia" w:hAnsi="Times New Roman" w:cs="Times New Roman"/>
          <w:sz w:val="24"/>
          <w:szCs w:val="24"/>
        </w:rPr>
        <w:t xml:space="preserve">, будем обозначать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8C6FA7">
        <w:rPr>
          <w:rFonts w:ascii="Times New Roman" w:eastAsiaTheme="minorEastAsia" w:hAnsi="Times New Roman" w:cs="Times New Roman"/>
          <w:sz w:val="24"/>
          <w:szCs w:val="24"/>
        </w:rPr>
        <w:t xml:space="preserve">, а количество элементов в этом множестве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="008C6F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76F69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76F69" w:rsidRPr="00C76F6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76F69">
        <w:rPr>
          <w:rFonts w:ascii="Times New Roman" w:eastAsiaTheme="minorEastAsia" w:hAnsi="Times New Roman" w:cs="Times New Roman"/>
          <w:sz w:val="24"/>
          <w:szCs w:val="24"/>
        </w:rPr>
        <w:t xml:space="preserve">некоторый узел дерева. Корневому узлу дерева назначается номер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</m:t>
        </m:r>
      </m:oMath>
      <w:r w:rsidR="00C76F69">
        <w:rPr>
          <w:rFonts w:ascii="Times New Roman" w:eastAsiaTheme="minorEastAsia" w:hAnsi="Times New Roman" w:cs="Times New Roman"/>
          <w:sz w:val="24"/>
          <w:szCs w:val="24"/>
        </w:rPr>
        <w:t xml:space="preserve">. Каждый из узлов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C76F6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</m:oMath>
      <w:r w:rsidR="00C76F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2D7">
        <w:rPr>
          <w:rFonts w:ascii="Times New Roman" w:eastAsiaTheme="minorEastAsia" w:hAnsi="Times New Roman" w:cs="Times New Roman"/>
          <w:sz w:val="24"/>
          <w:szCs w:val="24"/>
        </w:rPr>
        <w:t xml:space="preserve">имеет </w:t>
      </w:r>
      <w:r w:rsidR="008C6FA7">
        <w:rPr>
          <w:rFonts w:ascii="Times New Roman" w:eastAsiaTheme="minorEastAsia" w:hAnsi="Times New Roman" w:cs="Times New Roman"/>
          <w:sz w:val="24"/>
          <w:szCs w:val="24"/>
        </w:rPr>
        <w:t xml:space="preserve">ровно </w:t>
      </w:r>
      <w:r w:rsidR="008862D7">
        <w:rPr>
          <w:rFonts w:ascii="Times New Roman" w:eastAsiaTheme="minorEastAsia" w:hAnsi="Times New Roman" w:cs="Times New Roman"/>
          <w:sz w:val="24"/>
          <w:szCs w:val="24"/>
        </w:rPr>
        <w:t>одного предшествен</w:t>
      </w:r>
      <w:r w:rsidR="00807BE1">
        <w:rPr>
          <w:rFonts w:ascii="Times New Roman" w:eastAsiaTheme="minorEastAsia" w:hAnsi="Times New Roman" w:cs="Times New Roman"/>
          <w:sz w:val="24"/>
          <w:szCs w:val="24"/>
        </w:rPr>
        <w:t>ника. Пусть</w:t>
      </w:r>
    </w:p>
    <w:p w14:paraId="4F15FBD2" w14:textId="18163D0A" w:rsidR="00472364" w:rsidRPr="000D098D" w:rsidRDefault="004C3391" w:rsidP="0016475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72364" w:rsidRPr="00472364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472364">
        <w:rPr>
          <w:rFonts w:ascii="Times New Roman" w:eastAsiaTheme="minorEastAsia" w:hAnsi="Times New Roman" w:cs="Times New Roman"/>
          <w:sz w:val="24"/>
          <w:szCs w:val="24"/>
        </w:rPr>
        <w:t xml:space="preserve">предшественник узла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472364">
        <w:rPr>
          <w:rFonts w:ascii="Times New Roman" w:eastAsiaTheme="minorEastAsia" w:hAnsi="Times New Roman" w:cs="Times New Roman"/>
          <w:sz w:val="24"/>
          <w:szCs w:val="24"/>
        </w:rPr>
        <w:t xml:space="preserve"> на этапе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="00472364" w:rsidRPr="0047236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98D">
        <w:rPr>
          <w:rFonts w:ascii="Times New Roman" w:eastAsiaTheme="minorEastAsia" w:hAnsi="Times New Roman" w:cs="Times New Roman"/>
          <w:sz w:val="24"/>
          <w:szCs w:val="24"/>
        </w:rPr>
        <w:t xml:space="preserve">Индекс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q=0</m:t>
        </m:r>
      </m:oMath>
      <w:r w:rsidR="000D098D" w:rsidRPr="00BA32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098D">
        <w:rPr>
          <w:rFonts w:ascii="Times New Roman" w:eastAsiaTheme="minorEastAsia" w:hAnsi="Times New Roman" w:cs="Times New Roman"/>
          <w:sz w:val="24"/>
          <w:szCs w:val="24"/>
        </w:rPr>
        <w:t xml:space="preserve">означает значение некоторой переменной </w:t>
      </w:r>
      <w:r w:rsidR="00807BE1">
        <w:rPr>
          <w:rFonts w:ascii="Times New Roman" w:eastAsiaTheme="minorEastAsia" w:hAnsi="Times New Roman" w:cs="Times New Roman"/>
          <w:sz w:val="24"/>
          <w:szCs w:val="24"/>
        </w:rPr>
        <w:t>перед оптимизацией портфеля;</w:t>
      </w:r>
    </w:p>
    <w:p w14:paraId="58A45E04" w14:textId="5DC9EFFE" w:rsidR="00830E39" w:rsidRPr="001724BF" w:rsidRDefault="004C3391" w:rsidP="0016475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F4D92" w:rsidRPr="004F4D92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807BE1">
        <w:rPr>
          <w:rFonts w:ascii="Times New Roman" w:eastAsiaTheme="minorEastAsia" w:hAnsi="Times New Roman" w:cs="Times New Roman"/>
          <w:sz w:val="24"/>
          <w:szCs w:val="24"/>
        </w:rPr>
        <w:t xml:space="preserve">состояние счета </w:t>
      </w:r>
      <w:r w:rsidR="004F4D92">
        <w:rPr>
          <w:rFonts w:ascii="Times New Roman" w:eastAsiaTheme="minorEastAsia" w:hAnsi="Times New Roman" w:cs="Times New Roman"/>
          <w:sz w:val="24"/>
          <w:szCs w:val="24"/>
        </w:rPr>
        <w:t>накопленны</w:t>
      </w:r>
      <w:r w:rsidR="00807BE1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4F4D92">
        <w:rPr>
          <w:rFonts w:ascii="Times New Roman" w:eastAsiaTheme="minorEastAsia" w:hAnsi="Times New Roman" w:cs="Times New Roman"/>
          <w:sz w:val="24"/>
          <w:szCs w:val="24"/>
        </w:rPr>
        <w:t xml:space="preserve"> % от кредитов и депозитов </w:t>
      </w:r>
      <w:r w:rsidR="00AE2644">
        <w:rPr>
          <w:rFonts w:ascii="Times New Roman" w:eastAsiaTheme="minorEastAsia" w:hAnsi="Times New Roman" w:cs="Times New Roman"/>
          <w:sz w:val="24"/>
          <w:szCs w:val="24"/>
        </w:rPr>
        <w:t>на конец дня</w:t>
      </w:r>
      <w:r w:rsidR="00EF0790">
        <w:rPr>
          <w:rFonts w:ascii="Times New Roman" w:eastAsiaTheme="minorEastAsia" w:hAnsi="Times New Roman" w:cs="Times New Roman"/>
          <w:sz w:val="24"/>
          <w:szCs w:val="24"/>
        </w:rPr>
        <w:t xml:space="preserve">, соответствующего этапу </w:t>
      </w:r>
      <w:r w:rsidR="00AE26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F46D71" w:rsidRPr="00F46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079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46D71">
        <w:rPr>
          <w:rFonts w:ascii="Times New Roman" w:eastAsiaTheme="minorEastAsia" w:hAnsi="Times New Roman" w:cs="Times New Roman"/>
          <w:sz w:val="24"/>
          <w:szCs w:val="24"/>
        </w:rPr>
        <w:t>в уз</w:t>
      </w:r>
      <w:r w:rsidR="00EF0790">
        <w:rPr>
          <w:rFonts w:ascii="Times New Roman" w:eastAsiaTheme="minorEastAsia" w:hAnsi="Times New Roman" w:cs="Times New Roman"/>
          <w:sz w:val="24"/>
          <w:szCs w:val="24"/>
        </w:rPr>
        <w:t>ле</w:t>
      </w:r>
      <w:r w:rsidR="00F46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A320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07BE1">
        <w:rPr>
          <w:rFonts w:ascii="Times New Roman" w:eastAsiaTheme="minorEastAsia" w:hAnsi="Times New Roman" w:cs="Times New Roman"/>
          <w:sz w:val="24"/>
          <w:szCs w:val="24"/>
        </w:rPr>
        <w:t>Все эти величины известны до оптимизации;</w:t>
      </w:r>
    </w:p>
    <w:p w14:paraId="3364CFE6" w14:textId="0A7C6148" w:rsidR="00CA3B26" w:rsidRPr="001B22A6" w:rsidRDefault="004C3391" w:rsidP="00CA3B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A3B26" w:rsidRPr="004F4D92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807BE1">
        <w:rPr>
          <w:rFonts w:ascii="Times New Roman" w:eastAsiaTheme="minorEastAsia" w:hAnsi="Times New Roman" w:cs="Times New Roman"/>
          <w:sz w:val="24"/>
          <w:szCs w:val="24"/>
        </w:rPr>
        <w:t xml:space="preserve">состояние счета </w:t>
      </w:r>
      <w:r w:rsidR="00CA3B26">
        <w:rPr>
          <w:rFonts w:ascii="Times New Roman" w:eastAsiaTheme="minorEastAsia" w:hAnsi="Times New Roman" w:cs="Times New Roman"/>
          <w:sz w:val="24"/>
          <w:szCs w:val="24"/>
        </w:rPr>
        <w:t>накопленны</w:t>
      </w:r>
      <w:r w:rsidR="00807BE1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CA3B26">
        <w:rPr>
          <w:rFonts w:ascii="Times New Roman" w:eastAsiaTheme="minorEastAsia" w:hAnsi="Times New Roman" w:cs="Times New Roman"/>
          <w:sz w:val="24"/>
          <w:szCs w:val="24"/>
        </w:rPr>
        <w:t xml:space="preserve"> платеж</w:t>
      </w:r>
      <w:r w:rsidR="00807BE1">
        <w:rPr>
          <w:rFonts w:ascii="Times New Roman" w:eastAsiaTheme="minorEastAsia" w:hAnsi="Times New Roman" w:cs="Times New Roman"/>
          <w:sz w:val="24"/>
          <w:szCs w:val="24"/>
        </w:rPr>
        <w:t>ей</w:t>
      </w:r>
      <w:r w:rsidR="00CA3B26">
        <w:rPr>
          <w:rFonts w:ascii="Times New Roman" w:eastAsiaTheme="minorEastAsia" w:hAnsi="Times New Roman" w:cs="Times New Roman"/>
          <w:sz w:val="24"/>
          <w:szCs w:val="24"/>
        </w:rPr>
        <w:t xml:space="preserve"> по свопам на конец дня, соответствующего этапу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CA3B26" w:rsidRPr="00F46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3B26">
        <w:rPr>
          <w:rFonts w:ascii="Times New Roman" w:eastAsiaTheme="minorEastAsia" w:hAnsi="Times New Roman" w:cs="Times New Roman"/>
          <w:sz w:val="24"/>
          <w:szCs w:val="24"/>
        </w:rPr>
        <w:t xml:space="preserve">, в узле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1724B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1724BF">
        <w:rPr>
          <w:rFonts w:ascii="Times New Roman" w:eastAsiaTheme="minorEastAsia" w:hAnsi="Times New Roman" w:cs="Times New Roman"/>
          <w:sz w:val="24"/>
          <w:szCs w:val="24"/>
        </w:rPr>
        <w:t xml:space="preserve"> - значение данного параметра перед оптимизацией портфеля</w:t>
      </w:r>
      <w:r w:rsidR="00E41D77" w:rsidRPr="00E41D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41D77">
        <w:rPr>
          <w:rFonts w:ascii="Times New Roman" w:eastAsiaTheme="minorEastAsia" w:hAnsi="Times New Roman" w:cs="Times New Roman"/>
          <w:sz w:val="24"/>
          <w:szCs w:val="24"/>
        </w:rPr>
        <w:t>с учетом выплат по свопам в этот день</w:t>
      </w:r>
      <w:proofErr w:type="gramStart"/>
      <w:r w:rsidR="00E41D7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07BE1">
        <w:rPr>
          <w:rFonts w:ascii="Times New Roman" w:eastAsiaTheme="minorEastAsia" w:hAnsi="Times New Roman" w:cs="Times New Roman"/>
          <w:sz w:val="24"/>
          <w:szCs w:val="24"/>
        </w:rPr>
        <w:t xml:space="preserve">;  </w:t>
      </w:r>
      <w:r w:rsidR="00807BE1" w:rsidRPr="00807BE1">
        <w:rPr>
          <w:rFonts w:ascii="Times New Roman" w:eastAsiaTheme="minorEastAsia" w:hAnsi="Times New Roman" w:cs="Times New Roman"/>
          <w:color w:val="FF0000"/>
          <w:sz w:val="24"/>
          <w:szCs w:val="24"/>
        </w:rPr>
        <w:t>?</w:t>
      </w:r>
      <w:proofErr w:type="gramEnd"/>
    </w:p>
    <w:p w14:paraId="034A4876" w14:textId="408F5FD4" w:rsidR="00CA3B26" w:rsidRDefault="004C3391" w:rsidP="00CA3B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A3B26" w:rsidRPr="004F4D92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CA3B26">
        <w:rPr>
          <w:rFonts w:ascii="Times New Roman" w:eastAsiaTheme="minorEastAsia" w:hAnsi="Times New Roman" w:cs="Times New Roman"/>
          <w:sz w:val="24"/>
          <w:szCs w:val="24"/>
        </w:rPr>
        <w:t xml:space="preserve">множитель наращения от узла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="00CA3B26">
        <w:rPr>
          <w:rFonts w:ascii="Times New Roman" w:eastAsiaTheme="minorEastAsia" w:hAnsi="Times New Roman" w:cs="Times New Roman"/>
          <w:sz w:val="24"/>
          <w:szCs w:val="24"/>
        </w:rPr>
        <w:t xml:space="preserve">  до узла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A3B26">
        <w:rPr>
          <w:rFonts w:ascii="Times New Roman" w:eastAsiaTheme="minorEastAsia" w:hAnsi="Times New Roman" w:cs="Times New Roman"/>
          <w:sz w:val="24"/>
          <w:szCs w:val="24"/>
        </w:rPr>
        <w:t xml:space="preserve">. Рассчитывается по соответствующей динамике </w:t>
      </w:r>
      <w:r w:rsidR="00CA3B26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CA3B26" w:rsidRPr="00FF624B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1B22A6">
        <w:rPr>
          <w:rFonts w:ascii="Times New Roman" w:eastAsiaTheme="minorEastAsia" w:hAnsi="Times New Roman" w:cs="Times New Roman"/>
          <w:sz w:val="24"/>
          <w:szCs w:val="24"/>
        </w:rPr>
        <w:t>кривой;</w:t>
      </w:r>
    </w:p>
    <w:p w14:paraId="5F8042C8" w14:textId="3D7F05C8" w:rsidR="00CA3B26" w:rsidRPr="001B22A6" w:rsidRDefault="004C3391" w:rsidP="00CA3B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FF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, 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F624B" w:rsidRPr="004F4D92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B24069">
        <w:rPr>
          <w:rFonts w:ascii="Times New Roman" w:eastAsiaTheme="minorEastAsia" w:hAnsi="Times New Roman" w:cs="Times New Roman"/>
          <w:sz w:val="24"/>
          <w:szCs w:val="24"/>
        </w:rPr>
        <w:t xml:space="preserve">покупка (продажа) свопов в узле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 (в рублях по номиналу)</m:t>
        </m:r>
      </m:oMath>
      <w:r w:rsidR="00D23A57" w:rsidRPr="00D23A57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B240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 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AE7756" w:rsidRPr="00AE77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4CBB" w:rsidRPr="00624C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24CBB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AE7756">
        <w:rPr>
          <w:rFonts w:ascii="Times New Roman" w:eastAsiaTheme="minorEastAsia" w:hAnsi="Times New Roman" w:cs="Times New Roman"/>
          <w:sz w:val="24"/>
          <w:szCs w:val="24"/>
        </w:rPr>
        <w:t xml:space="preserve"> множество дат погашения свопов, которые могут быть заключены на этапе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1B22A6">
        <w:rPr>
          <w:rFonts w:ascii="Times New Roman" w:eastAsiaTheme="minorEastAsia" w:hAnsi="Times New Roman" w:cs="Times New Roman"/>
          <w:sz w:val="24"/>
          <w:szCs w:val="24"/>
        </w:rPr>
        <w:t xml:space="preserve">  (содержит три элемента)</w:t>
      </w:r>
      <w:r w:rsidR="001B22A6" w:rsidRPr="001B22A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AFF82F2" w14:textId="304CE510" w:rsidR="00B35933" w:rsidRPr="001B22A6" w:rsidRDefault="004C3391" w:rsidP="00CA3B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B359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, 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35933" w:rsidRPr="004F4D92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B35933">
        <w:rPr>
          <w:rFonts w:ascii="Times New Roman" w:eastAsiaTheme="minorEastAsia" w:hAnsi="Times New Roman" w:cs="Times New Roman"/>
          <w:sz w:val="24"/>
          <w:szCs w:val="24"/>
        </w:rPr>
        <w:t xml:space="preserve">фиксированные процентные ставки по свопам, которые могут быть заключены в узле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35933" w:rsidRPr="00D23A57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B359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 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B35933" w:rsidRPr="00AE77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35933" w:rsidRPr="00624C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35933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B35933">
        <w:rPr>
          <w:rFonts w:ascii="Times New Roman" w:eastAsiaTheme="minorEastAsia" w:hAnsi="Times New Roman" w:cs="Times New Roman"/>
          <w:sz w:val="24"/>
          <w:szCs w:val="24"/>
        </w:rPr>
        <w:t xml:space="preserve"> множество дат погашения свопов, которые могут быть заключены на этапе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1B22A6">
        <w:rPr>
          <w:rFonts w:ascii="Times New Roman" w:eastAsiaTheme="minorEastAsia" w:hAnsi="Times New Roman" w:cs="Times New Roman"/>
          <w:sz w:val="24"/>
          <w:szCs w:val="24"/>
        </w:rPr>
        <w:t xml:space="preserve">  (содержит три элемента)</w:t>
      </w:r>
      <w:r w:rsidR="001B22A6" w:rsidRPr="001B22A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0C32DDB" w14:textId="1114C2F3" w:rsidR="00356530" w:rsidRDefault="00356530" w:rsidP="00CA3B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1456B1" w14:textId="5DA9061C" w:rsidR="00356530" w:rsidRDefault="00356530" w:rsidP="00356530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3</w:t>
      </w:r>
    </w:p>
    <w:p w14:paraId="385C513D" w14:textId="4B4860DD" w:rsidR="00F46169" w:rsidRDefault="002D4F9B" w:rsidP="002D4F9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Сроки свопов в портфеле до оптимизации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56530" w:rsidRPr="00356530" w14:paraId="7D126621" w14:textId="77777777" w:rsidTr="00F46169">
        <w:trPr>
          <w:trHeight w:val="600"/>
        </w:trPr>
        <w:tc>
          <w:tcPr>
            <w:tcW w:w="1720" w:type="dxa"/>
            <w:shd w:val="clear" w:color="auto" w:fill="auto"/>
            <w:vAlign w:val="bottom"/>
            <w:hideMark/>
          </w:tcPr>
          <w:p w14:paraId="2D935D77" w14:textId="03692945" w:rsidR="00356530" w:rsidRPr="00356530" w:rsidRDefault="00F46169" w:rsidP="00356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r w:rsidR="00356530"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рок</w:t>
            </w:r>
            <w:r w:rsidR="002A5C1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до погашения</w:t>
            </w:r>
            <w:r w:rsidR="00356530"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, кварталов вперед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55CCD" w14:textId="77777777" w:rsidR="00356530" w:rsidRPr="00356530" w:rsidRDefault="00356530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5CB48" w14:textId="77777777" w:rsidR="00356530" w:rsidRPr="00356530" w:rsidRDefault="00356530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48CCF" w14:textId="77777777" w:rsidR="00356530" w:rsidRPr="00356530" w:rsidRDefault="00356530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A9A38" w14:textId="77777777" w:rsidR="00356530" w:rsidRPr="00356530" w:rsidRDefault="00356530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B38F2" w14:textId="77777777" w:rsidR="00356530" w:rsidRPr="00356530" w:rsidRDefault="00356530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49D9E" w14:textId="77777777" w:rsidR="00356530" w:rsidRPr="00356530" w:rsidRDefault="00356530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F7A0F" w14:textId="77777777" w:rsidR="00356530" w:rsidRPr="00356530" w:rsidRDefault="00356530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A6C1D" w14:textId="77777777" w:rsidR="00356530" w:rsidRPr="00356530" w:rsidRDefault="00356530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673715" w:rsidRPr="00356530" w14:paraId="725D420B" w14:textId="77777777" w:rsidTr="00136B42">
        <w:trPr>
          <w:trHeight w:val="1200"/>
        </w:trPr>
        <w:tc>
          <w:tcPr>
            <w:tcW w:w="1720" w:type="dxa"/>
            <w:vMerge w:val="restart"/>
            <w:shd w:val="clear" w:color="auto" w:fill="auto"/>
            <w:vAlign w:val="bottom"/>
            <w:hideMark/>
          </w:tcPr>
          <w:p w14:paraId="45E4F8C6" w14:textId="77777777" w:rsidR="00673715" w:rsidRPr="00356530" w:rsidRDefault="00673715" w:rsidP="003565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Даты, когда мог быть заключен (кварталов назад)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89646" w14:textId="77777777" w:rsidR="00673715" w:rsidRPr="00356530" w:rsidRDefault="00673715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9ED2C" w14:textId="77777777" w:rsidR="00673715" w:rsidRPr="00356530" w:rsidRDefault="00673715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AC80A2" w14:textId="69CE7661" w:rsidR="00673715" w:rsidRPr="00356530" w:rsidRDefault="00673715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CFA3E9" w14:textId="5A4001D7" w:rsidR="00673715" w:rsidRPr="00356530" w:rsidRDefault="00673715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D0126A" w14:textId="1896EC97" w:rsidR="00673715" w:rsidRPr="00356530" w:rsidRDefault="00673715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5F2E39" w14:textId="1213B1C1" w:rsidR="00673715" w:rsidRPr="00356530" w:rsidRDefault="00673715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7CFFA6" w14:textId="766B6BCE" w:rsidR="00673715" w:rsidRPr="00356530" w:rsidRDefault="00673715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E684CF6" w14:textId="3A7A0700" w:rsidR="00673715" w:rsidRPr="00356530" w:rsidRDefault="00673715" w:rsidP="003565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73715" w:rsidRPr="00356530" w14:paraId="286E5CF2" w14:textId="77777777" w:rsidTr="004C3391">
        <w:trPr>
          <w:trHeight w:val="300"/>
        </w:trPr>
        <w:tc>
          <w:tcPr>
            <w:tcW w:w="1720" w:type="dxa"/>
            <w:vMerge/>
            <w:shd w:val="clear" w:color="auto" w:fill="auto"/>
            <w:noWrap/>
            <w:vAlign w:val="bottom"/>
            <w:hideMark/>
          </w:tcPr>
          <w:p w14:paraId="7EBBA78A" w14:textId="77777777" w:rsidR="00673715" w:rsidRPr="00356530" w:rsidRDefault="00673715" w:rsidP="00136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499B" w14:textId="77777777" w:rsidR="00673715" w:rsidRPr="00356530" w:rsidRDefault="00673715" w:rsidP="00136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6526" w14:textId="77777777" w:rsidR="00673715" w:rsidRPr="00356530" w:rsidRDefault="00673715" w:rsidP="00136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88323C" w14:textId="7AAB9E87" w:rsidR="00673715" w:rsidRPr="00356530" w:rsidRDefault="00673715" w:rsidP="00136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FBD73E" w14:textId="0A068225" w:rsidR="00673715" w:rsidRPr="00356530" w:rsidRDefault="00673715" w:rsidP="00136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5D0E" w14:textId="77777777" w:rsidR="00673715" w:rsidRPr="00356530" w:rsidRDefault="00673715" w:rsidP="00136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A958" w14:textId="77777777" w:rsidR="00673715" w:rsidRPr="00356530" w:rsidRDefault="00673715" w:rsidP="00136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64D7" w14:textId="77777777" w:rsidR="00673715" w:rsidRPr="00356530" w:rsidRDefault="00673715" w:rsidP="00136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7E13" w14:textId="77777777" w:rsidR="00673715" w:rsidRPr="00356530" w:rsidRDefault="00673715" w:rsidP="00136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3715" w:rsidRPr="00356530" w14:paraId="01F52D7E" w14:textId="77777777" w:rsidTr="00136B42">
        <w:trPr>
          <w:trHeight w:val="300"/>
        </w:trPr>
        <w:tc>
          <w:tcPr>
            <w:tcW w:w="1720" w:type="dxa"/>
            <w:vMerge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F072AD" w14:textId="77777777" w:rsidR="00673715" w:rsidRPr="00356530" w:rsidRDefault="00673715" w:rsidP="00136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6C2A9F" w14:textId="77777777" w:rsidR="00673715" w:rsidRPr="00356530" w:rsidRDefault="00673715" w:rsidP="00136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ABCC16" w14:textId="77777777" w:rsidR="00673715" w:rsidRPr="00356530" w:rsidRDefault="00673715" w:rsidP="00136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C135EB" w14:textId="24EDAD17" w:rsidR="00673715" w:rsidRPr="00356530" w:rsidRDefault="00673715" w:rsidP="00136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F3E4E9D" w14:textId="36BB728D" w:rsidR="00673715" w:rsidRPr="00356530" w:rsidRDefault="00673715" w:rsidP="00136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5AB980" w14:textId="0ABC4AB1" w:rsidR="00673715" w:rsidRPr="00356530" w:rsidRDefault="00673715" w:rsidP="00136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8B1C85" w14:textId="748A2344" w:rsidR="00673715" w:rsidRPr="00356530" w:rsidRDefault="00673715" w:rsidP="00136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ED1FCEC" w14:textId="7277E608" w:rsidR="00673715" w:rsidRPr="00356530" w:rsidRDefault="00673715" w:rsidP="00136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E0C513" w14:textId="7CC0A455" w:rsidR="00673715" w:rsidRPr="00356530" w:rsidRDefault="00673715" w:rsidP="00136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653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14:paraId="647ECB15" w14:textId="399F27C1" w:rsidR="00EF56A1" w:rsidRDefault="004C3391" w:rsidP="00EF56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 - позиции по свопам до оптимизации портфеля;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 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,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 содержит возможные даты погашения свопов, всего восемь различных дат. Соответствующие сроки погашения свопов в кварталах представлены в табл. 3;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EF56A1" w:rsidRPr="00373969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даты, когда своп был заключен. Как видно из табл.3, число элементов во множествах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383FB0">
        <w:rPr>
          <w:rFonts w:ascii="Times New Roman" w:eastAsiaTheme="minorEastAsia" w:hAnsi="Times New Roman" w:cs="Times New Roman"/>
          <w:sz w:val="24"/>
          <w:szCs w:val="24"/>
        </w:rPr>
        <w:t xml:space="preserve"> и может составлять от 1 до 3;</w:t>
      </w:r>
    </w:p>
    <w:p w14:paraId="320427FC" w14:textId="07339872" w:rsidR="00EF56A1" w:rsidRPr="00EF56A1" w:rsidRDefault="004C3391" w:rsidP="00624C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 - фиксированные ставки по свопам, находящимся в портфеле до оптимизации портфеля;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 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,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 содержит возможные даты погашения свопов, всего восемь различных дат. Соответствующие сроки погашения свопов в кварталах представлены в табл. 3;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EF56A1" w:rsidRPr="00373969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даты, когда своп был заключен. Как видно из табл.3, число элементов во множествах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EF56A1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383FB0">
        <w:rPr>
          <w:rFonts w:ascii="Times New Roman" w:eastAsiaTheme="minorEastAsia" w:hAnsi="Times New Roman" w:cs="Times New Roman"/>
          <w:sz w:val="24"/>
          <w:szCs w:val="24"/>
        </w:rPr>
        <w:t xml:space="preserve"> и может составлять от 1 до 3;</w:t>
      </w:r>
    </w:p>
    <w:p w14:paraId="567F807C" w14:textId="76BDB6BE" w:rsidR="00624CBB" w:rsidRPr="00383FB0" w:rsidRDefault="00624CBB" w:rsidP="00624C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747F9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календарная дата, соответствующая этапу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383FB0" w:rsidRPr="00383FB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9214E9" w14:textId="11E96D89" w:rsidR="00924E2B" w:rsidRPr="00924E2B" w:rsidRDefault="00924E2B" w:rsidP="00624C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Можно записать следующее соотношение для остатка счета, на котором накапливаются выплаты по свопам:</w:t>
      </w:r>
    </w:p>
    <w:p w14:paraId="59825347" w14:textId="77777777" w:rsidR="00EF56A1" w:rsidRDefault="00EF56A1" w:rsidP="00624C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684544" w14:textId="090D2FF6" w:rsidR="00924E2B" w:rsidRPr="00924E2B" w:rsidRDefault="001039AF" w:rsidP="001039AF">
      <w:pPr>
        <w:spacing w:after="0" w:line="360" w:lineRule="auto"/>
        <w:ind w:left="141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 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h≤D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eqAr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</m:e>
                </m:d>
              </m:e>
            </m:nary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6CD1ED" w14:textId="77507A41" w:rsidR="00CA3B26" w:rsidRPr="00924E2B" w:rsidRDefault="00673715" w:rsidP="001039AF">
      <w:pPr>
        <w:spacing w:after="0" w:line="360" w:lineRule="auto"/>
        <w:ind w:left="1416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 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h≤D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eqAr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</m:e>
            </m:nary>
          </m:e>
        </m:nary>
      </m:oMath>
      <w:r w:rsidR="001039A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24E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39AF">
        <w:rPr>
          <w:rFonts w:ascii="Times New Roman" w:eastAsiaTheme="minorEastAsia" w:hAnsi="Times New Roman" w:cs="Times New Roman"/>
          <w:sz w:val="24"/>
          <w:szCs w:val="24"/>
        </w:rPr>
        <w:tab/>
      </w:r>
      <w:r w:rsidR="001039AF">
        <w:rPr>
          <w:rFonts w:ascii="Times New Roman" w:eastAsiaTheme="minorEastAsia" w:hAnsi="Times New Roman" w:cs="Times New Roman"/>
          <w:sz w:val="24"/>
          <w:szCs w:val="24"/>
        </w:rPr>
        <w:tab/>
      </w:r>
      <w:r w:rsidR="001039A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gramStart"/>
      <w:r w:rsidR="001039A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24E2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End"/>
      <w:r w:rsidR="00924E2B">
        <w:rPr>
          <w:rFonts w:ascii="Times New Roman" w:eastAsiaTheme="minorEastAsia" w:hAnsi="Times New Roman" w:cs="Times New Roman"/>
          <w:sz w:val="24"/>
          <w:szCs w:val="24"/>
        </w:rPr>
        <w:t>16)</w:t>
      </w:r>
    </w:p>
    <w:p w14:paraId="4FCAD43E" w14:textId="2225BE29" w:rsidR="00ED716A" w:rsidRDefault="00ED716A" w:rsidP="00924E2B">
      <w:pPr>
        <w:spacing w:after="0" w:line="360" w:lineRule="auto"/>
        <w:ind w:left="2832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2,…,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4723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C339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FCDF1F" w14:textId="1394F19D" w:rsidR="00924E2B" w:rsidRDefault="00924E2B" w:rsidP="00924E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05CDE1" w14:textId="28CAECA7" w:rsidR="00383FB0" w:rsidRDefault="00384F17" w:rsidP="00924E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(1)</m:t>
        </m:r>
      </m:oMath>
      <w:r w:rsidR="00932ECC"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</w:t>
      </w:r>
      <w:r w:rsidR="00932ECC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932ECC" w:rsidRPr="00932ECC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932ECC">
        <w:rPr>
          <w:rFonts w:ascii="Times New Roman" w:eastAsiaTheme="minorEastAsia" w:hAnsi="Times New Roman" w:cs="Times New Roman"/>
          <w:sz w:val="24"/>
          <w:szCs w:val="24"/>
        </w:rPr>
        <w:t xml:space="preserve">кривой для срока инвестирования 1 год в узле-предшественнике узла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932EC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039AF">
        <w:rPr>
          <w:rFonts w:ascii="Times New Roman" w:eastAsiaTheme="minorEastAsia" w:hAnsi="Times New Roman" w:cs="Times New Roman"/>
          <w:sz w:val="24"/>
          <w:szCs w:val="24"/>
        </w:rPr>
        <w:t xml:space="preserve"> Множитель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1039AF">
        <w:rPr>
          <w:rFonts w:ascii="Times New Roman" w:eastAsiaTheme="minorEastAsia" w:hAnsi="Times New Roman" w:cs="Times New Roman"/>
          <w:sz w:val="24"/>
          <w:szCs w:val="24"/>
        </w:rPr>
        <w:t xml:space="preserve"> обусловлен тем, что платежи по свопам производятся раз в квартал.</w:t>
      </w:r>
    </w:p>
    <w:p w14:paraId="207DAB50" w14:textId="569BEB18" w:rsidR="00932ECC" w:rsidRPr="00932ECC" w:rsidRDefault="00932ECC" w:rsidP="00924E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Далее, обозначим</w:t>
      </w:r>
    </w:p>
    <w:p w14:paraId="226A0850" w14:textId="7D9DAB70" w:rsidR="001D62FC" w:rsidRPr="001D62FC" w:rsidRDefault="004C3391" w:rsidP="00CA3B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1D62FC" w:rsidRPr="001D62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1D62FC" w:rsidRPr="001D62F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1D62FC">
        <w:rPr>
          <w:rFonts w:ascii="Times New Roman" w:eastAsiaTheme="minorEastAsia" w:hAnsi="Times New Roman" w:cs="Times New Roman"/>
          <w:sz w:val="24"/>
          <w:szCs w:val="24"/>
        </w:rPr>
        <w:t xml:space="preserve">стоимость свопов, находящихся в портфеле на конец дня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</m:oMath>
      <w:r w:rsidR="0004305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B87AA05" w14:textId="2A93DE62" w:rsidR="00827DC5" w:rsidRDefault="004C3391" w:rsidP="00827DC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827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, 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27DC5" w:rsidRPr="004F4D92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020FFF">
        <w:rPr>
          <w:rFonts w:ascii="Times New Roman" w:eastAsiaTheme="minorEastAsia" w:hAnsi="Times New Roman" w:cs="Times New Roman"/>
          <w:sz w:val="24"/>
          <w:szCs w:val="24"/>
        </w:rPr>
        <w:t>стоимость свопа</w:t>
      </w:r>
      <w:r w:rsidR="00343A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4EA1">
        <w:rPr>
          <w:rFonts w:ascii="Times New Roman" w:eastAsiaTheme="minorEastAsia" w:hAnsi="Times New Roman" w:cs="Times New Roman"/>
          <w:sz w:val="24"/>
          <w:szCs w:val="24"/>
        </w:rPr>
        <w:t xml:space="preserve">номиналом 1 рубль, </w:t>
      </w:r>
      <w:r w:rsidR="00020FFF">
        <w:rPr>
          <w:rFonts w:ascii="Times New Roman" w:eastAsiaTheme="minorEastAsia" w:hAnsi="Times New Roman" w:cs="Times New Roman"/>
          <w:sz w:val="24"/>
          <w:szCs w:val="24"/>
        </w:rPr>
        <w:t xml:space="preserve">который мог быть </w:t>
      </w:r>
      <w:r w:rsidR="00376B30">
        <w:rPr>
          <w:rFonts w:ascii="Times New Roman" w:eastAsiaTheme="minorEastAsia" w:hAnsi="Times New Roman" w:cs="Times New Roman"/>
          <w:sz w:val="24"/>
          <w:szCs w:val="24"/>
        </w:rPr>
        <w:t>заключен</w:t>
      </w:r>
      <w:r w:rsidR="00827DC5">
        <w:rPr>
          <w:rFonts w:ascii="Times New Roman" w:eastAsiaTheme="minorEastAsia" w:hAnsi="Times New Roman" w:cs="Times New Roman"/>
          <w:sz w:val="24"/>
          <w:szCs w:val="24"/>
        </w:rPr>
        <w:t xml:space="preserve"> в узле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 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376B30">
        <w:rPr>
          <w:rFonts w:ascii="Times New Roman" w:eastAsiaTheme="minorEastAsia" w:hAnsi="Times New Roman" w:cs="Times New Roman"/>
          <w:sz w:val="24"/>
          <w:szCs w:val="24"/>
        </w:rPr>
        <w:t xml:space="preserve"> на конец дня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</m:oMath>
      <w:r w:rsidR="00827DC5" w:rsidRPr="00D23A57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827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 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827DC5" w:rsidRPr="00AE77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7DC5" w:rsidRPr="00624C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27DC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827DC5">
        <w:rPr>
          <w:rFonts w:ascii="Times New Roman" w:eastAsiaTheme="minorEastAsia" w:hAnsi="Times New Roman" w:cs="Times New Roman"/>
          <w:sz w:val="24"/>
          <w:szCs w:val="24"/>
        </w:rPr>
        <w:t xml:space="preserve"> множество дат погашения свопов, которые могут быть заключены на этапе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C950B9">
        <w:rPr>
          <w:rFonts w:ascii="Times New Roman" w:eastAsiaTheme="minorEastAsia" w:hAnsi="Times New Roman" w:cs="Times New Roman"/>
          <w:sz w:val="24"/>
          <w:szCs w:val="24"/>
        </w:rPr>
        <w:t xml:space="preserve">  (содержит три элемента);</w:t>
      </w:r>
    </w:p>
    <w:p w14:paraId="3441422E" w14:textId="77932787" w:rsidR="009105FE" w:rsidRDefault="004C3391" w:rsidP="009105F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9105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4EA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14EA1" w:rsidRPr="00B14E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4EA1">
        <w:rPr>
          <w:rFonts w:ascii="Times New Roman" w:eastAsiaTheme="minorEastAsia" w:hAnsi="Times New Roman" w:cs="Times New Roman"/>
          <w:sz w:val="24"/>
          <w:szCs w:val="24"/>
        </w:rPr>
        <w:t>стоимость своп</w:t>
      </w:r>
      <w:r w:rsidR="00020FFF">
        <w:rPr>
          <w:rFonts w:ascii="Times New Roman" w:eastAsiaTheme="minorEastAsia" w:hAnsi="Times New Roman" w:cs="Times New Roman"/>
          <w:sz w:val="24"/>
          <w:szCs w:val="24"/>
        </w:rPr>
        <w:t>а номиналом 1 рубль, который мог находиться в портфеле</w:t>
      </w:r>
      <w:r w:rsidR="009105FE">
        <w:rPr>
          <w:rFonts w:ascii="Times New Roman" w:eastAsiaTheme="minorEastAsia" w:hAnsi="Times New Roman" w:cs="Times New Roman"/>
          <w:sz w:val="24"/>
          <w:szCs w:val="24"/>
        </w:rPr>
        <w:t xml:space="preserve"> до оптимизации</w:t>
      </w:r>
      <w:r w:rsidR="00020FFF">
        <w:rPr>
          <w:rFonts w:ascii="Times New Roman" w:eastAsiaTheme="minorEastAsia" w:hAnsi="Times New Roman" w:cs="Times New Roman"/>
          <w:sz w:val="24"/>
          <w:szCs w:val="24"/>
        </w:rPr>
        <w:t xml:space="preserve">, на конец дня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</m:oMath>
      <w:r w:rsidR="009105F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 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9105FE">
        <w:rPr>
          <w:rFonts w:ascii="Times New Roman" w:eastAsiaTheme="minorEastAsia" w:hAnsi="Times New Roman" w:cs="Times New Roman"/>
          <w:sz w:val="24"/>
          <w:szCs w:val="24"/>
        </w:rPr>
        <w:t xml:space="preserve">,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9105FE">
        <w:rPr>
          <w:rFonts w:ascii="Times New Roman" w:eastAsiaTheme="minorEastAsia" w:hAnsi="Times New Roman" w:cs="Times New Roman"/>
          <w:sz w:val="24"/>
          <w:szCs w:val="24"/>
        </w:rPr>
        <w:t xml:space="preserve"> содержит возможные даты погашения свопов, всего восемь различных дат. Соответствующие сроки погашения свопов в кварталах представлены в табл. 3;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9105FE" w:rsidRPr="00373969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9105FE">
        <w:rPr>
          <w:rFonts w:ascii="Times New Roman" w:eastAsiaTheme="minorEastAsia" w:hAnsi="Times New Roman" w:cs="Times New Roman"/>
          <w:sz w:val="24"/>
          <w:szCs w:val="24"/>
        </w:rPr>
        <w:t xml:space="preserve">даты, когда своп был заключен. Как видно из табл.3, число элементов во множествах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9105FE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9105FE">
        <w:rPr>
          <w:rFonts w:ascii="Times New Roman" w:eastAsiaTheme="minorEastAsia" w:hAnsi="Times New Roman" w:cs="Times New Roman"/>
          <w:sz w:val="24"/>
          <w:szCs w:val="24"/>
        </w:rPr>
        <w:t xml:space="preserve"> и может соста</w:t>
      </w:r>
      <w:r w:rsidR="00B66D3B">
        <w:rPr>
          <w:rFonts w:ascii="Times New Roman" w:eastAsiaTheme="minorEastAsia" w:hAnsi="Times New Roman" w:cs="Times New Roman"/>
          <w:sz w:val="24"/>
          <w:szCs w:val="24"/>
        </w:rPr>
        <w:t>влять от 1 до 3.</w:t>
      </w:r>
    </w:p>
    <w:p w14:paraId="3CFAA5D9" w14:textId="78666C39" w:rsidR="00020FFF" w:rsidRDefault="00E33CFC" w:rsidP="009105F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Имеет место следующее соотношение:</w:t>
      </w:r>
    </w:p>
    <w:p w14:paraId="3C1023BB" w14:textId="01E5D1D4" w:rsidR="00020FFF" w:rsidRDefault="004C3391" w:rsidP="0080384E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 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h≤D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eqAr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</m:e>
            </m:nary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 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h≤D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eqAr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bSup>
              </m:e>
            </m:nary>
          </m:e>
        </m:nary>
      </m:oMath>
      <w:r w:rsidR="0009485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E33CFC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E33CFC">
        <w:rPr>
          <w:rFonts w:ascii="Times New Roman" w:eastAsiaTheme="minorEastAsia" w:hAnsi="Times New Roman" w:cs="Times New Roman"/>
          <w:sz w:val="24"/>
          <w:szCs w:val="24"/>
        </w:rPr>
        <w:tab/>
      </w:r>
      <w:r w:rsidR="00E33CF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(17)</w:t>
      </w:r>
    </w:p>
    <w:p w14:paraId="7D5EB0C6" w14:textId="34B0A5E0" w:rsidR="00AE3BFC" w:rsidRDefault="00AE3BFC" w:rsidP="00E33CFC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D84548" w14:textId="27D1F1CE" w:rsidR="00AE3BFC" w:rsidRPr="00683B20" w:rsidRDefault="00AE3BFC" w:rsidP="00AE3BF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15B32">
        <w:rPr>
          <w:rFonts w:ascii="Times New Roman" w:eastAsiaTheme="minorEastAsia" w:hAnsi="Times New Roman" w:cs="Times New Roman"/>
          <w:sz w:val="24"/>
          <w:szCs w:val="24"/>
        </w:rPr>
        <w:t>Критерий оптимизации и последующие ограничения</w:t>
      </w:r>
      <w:r w:rsidR="001039AF">
        <w:rPr>
          <w:rFonts w:ascii="Times New Roman" w:eastAsiaTheme="minorEastAsia" w:hAnsi="Times New Roman" w:cs="Times New Roman"/>
          <w:sz w:val="24"/>
          <w:szCs w:val="24"/>
        </w:rPr>
        <w:t xml:space="preserve"> основаны на работе 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1948034942"/>
          <w:citation/>
        </w:sdtPr>
        <w:sdtContent>
          <w:r w:rsidR="00415B32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="00415B32" w:rsidRPr="00AF6448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</w:instrText>
          </w:r>
          <w:r w:rsidR="00415B32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>CITATION</w:instrText>
          </w:r>
          <w:r w:rsidR="00415B32" w:rsidRPr="00AF6448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</w:instrText>
          </w:r>
          <w:r w:rsidR="00415B32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>Tro</w:instrText>
          </w:r>
          <w:r w:rsidR="00415B32" w:rsidRPr="00AF6448">
            <w:rPr>
              <w:rFonts w:ascii="Times New Roman" w:eastAsiaTheme="minorEastAsia" w:hAnsi="Times New Roman" w:cs="Times New Roman"/>
              <w:sz w:val="24"/>
              <w:szCs w:val="24"/>
            </w:rPr>
            <w:instrText>11 \</w:instrText>
          </w:r>
          <w:r w:rsidR="00415B32"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w:instrText>l</w:instrText>
          </w:r>
          <w:r w:rsidR="00415B32" w:rsidRPr="00AF6448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1033 </w:instrText>
          </w:r>
          <w:r w:rsidR="00415B32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415B32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</w:t>
          </w:r>
          <w:r w:rsidR="00415B32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w:t>Troha</w:t>
          </w:r>
          <w:r w:rsidR="00415B32" w:rsidRPr="00AF6448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, 2011)</w:t>
          </w:r>
          <w:r w:rsidR="00415B32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="00415B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83B20">
        <w:rPr>
          <w:rFonts w:ascii="Times New Roman" w:eastAsiaTheme="minorEastAsia" w:hAnsi="Times New Roman" w:cs="Times New Roman"/>
          <w:sz w:val="24"/>
          <w:szCs w:val="24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683B20">
        <w:rPr>
          <w:rFonts w:ascii="Times New Roman" w:eastAsiaTheme="minorEastAsia" w:hAnsi="Times New Roman" w:cs="Times New Roman"/>
          <w:sz w:val="24"/>
          <w:szCs w:val="24"/>
        </w:rPr>
        <w:t xml:space="preserve"> – требуемая прибыль портфеля на конец дня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683B20" w:rsidRPr="00683B2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253FDF" w14:textId="6F102AB2" w:rsidR="00C31F94" w:rsidRDefault="00C31F94" w:rsidP="000948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A42E2F4" w14:textId="1FD70EF4" w:rsidR="00C31F94" w:rsidRPr="00EB293F" w:rsidRDefault="004C3391" w:rsidP="00415B32">
      <w:pPr>
        <w:spacing w:after="0"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1-β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bSup>
          </m:e>
        </m:nary>
      </m:oMath>
      <w:r w:rsidR="00415B32">
        <w:rPr>
          <w:rFonts w:ascii="Times New Roman" w:eastAsiaTheme="minorEastAsia" w:hAnsi="Times New Roman" w:cs="Times New Roman"/>
          <w:sz w:val="24"/>
          <w:szCs w:val="24"/>
        </w:rPr>
        <w:tab/>
      </w:r>
      <w:r w:rsidR="00415B32">
        <w:rPr>
          <w:rFonts w:ascii="Times New Roman" w:eastAsiaTheme="minorEastAsia" w:hAnsi="Times New Roman" w:cs="Times New Roman"/>
          <w:sz w:val="24"/>
          <w:szCs w:val="24"/>
        </w:rPr>
        <w:tab/>
      </w:r>
      <w:r w:rsidR="00415B32">
        <w:rPr>
          <w:rFonts w:ascii="Times New Roman" w:eastAsiaTheme="minorEastAsia" w:hAnsi="Times New Roman" w:cs="Times New Roman"/>
          <w:sz w:val="24"/>
          <w:szCs w:val="24"/>
        </w:rPr>
        <w:tab/>
      </w:r>
      <w:r w:rsidR="00415B32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(18)</w:t>
      </w:r>
    </w:p>
    <w:p w14:paraId="5F798B11" w14:textId="6557C87E" w:rsidR="00EB293F" w:rsidRPr="004C3391" w:rsidRDefault="00B02596" w:rsidP="00C31F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E33CF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E33CF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E33C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</m:oMath>
      <w:r w:rsidR="00DF5B36" w:rsidRPr="00E33C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p>
        </m:sSubSup>
      </m:oMath>
      <w:r w:rsidR="00DF5B36" w:rsidRPr="00E33C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26AC9" w:rsidRPr="00E33C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 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</w:p>
    <w:p w14:paraId="73B38135" w14:textId="5371B066" w:rsidR="00526AC9" w:rsidRPr="001B023E" w:rsidRDefault="004C3391" w:rsidP="001B023E">
      <w:pPr>
        <w:spacing w:after="0"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≥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1B023E" w:rsidRPr="001B023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1B023E" w:rsidRPr="001B023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1B023E" w:rsidRPr="001B023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1B023E" w:rsidRPr="001B023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   (19)</w:t>
      </w:r>
    </w:p>
    <w:p w14:paraId="563E4825" w14:textId="208758EC" w:rsidR="00BD12DD" w:rsidRPr="00E63D60" w:rsidRDefault="004C3391" w:rsidP="00E63D60">
      <w:pPr>
        <w:spacing w:after="0" w:line="360" w:lineRule="auto"/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5935E9" w:rsidRPr="00E63D6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E63D60" w:rsidRPr="00E63D60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63D60" w:rsidRPr="00E63D60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63D60" w:rsidRPr="00EC7CC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="00E63D60" w:rsidRPr="00EC7CC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 w:rsidR="00E63D60" w:rsidRPr="00E63D60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="00E63D60" w:rsidRPr="00E63D60">
        <w:rPr>
          <w:rFonts w:ascii="Times New Roman" w:eastAsiaTheme="minorEastAsia" w:hAnsi="Times New Roman" w:cs="Times New Roman"/>
          <w:sz w:val="24"/>
          <w:szCs w:val="24"/>
          <w:lang w:val="en-US"/>
        </w:rPr>
        <w:t>20)</w:t>
      </w:r>
    </w:p>
    <w:p w14:paraId="37F6744E" w14:textId="528C017C" w:rsidR="00813FDC" w:rsidRPr="00813FDC" w:rsidRDefault="00EC7CCC" w:rsidP="0016475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Обозначим еще через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="00813FDC" w:rsidRPr="00813F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множество последователей узла n</m:t>
        </m:r>
      </m:oMath>
      <w:r w:rsidR="00813FDC" w:rsidRPr="00813FD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Тогда</w:t>
      </w:r>
    </w:p>
    <w:p w14:paraId="5CAB41DC" w14:textId="6F44E4D7" w:rsidR="009B11C1" w:rsidRDefault="004C3391" w:rsidP="00683B2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d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1-β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813FDC" w:rsidRPr="00813FDC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FA7674" w:rsidRPr="00FA767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t=2,...,T-1</m:t>
        </m:r>
      </m:oMath>
      <w:r w:rsidR="00683B2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gramStart"/>
      <w:r w:rsidR="00683B20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proofErr w:type="gramEnd"/>
      <w:r w:rsidR="00683B20">
        <w:rPr>
          <w:rFonts w:ascii="Times New Roman" w:eastAsiaTheme="minorEastAsia" w:hAnsi="Times New Roman" w:cs="Times New Roman"/>
          <w:sz w:val="24"/>
          <w:szCs w:val="24"/>
        </w:rPr>
        <w:t>21)</w:t>
      </w:r>
    </w:p>
    <w:p w14:paraId="6051AFA3" w14:textId="0322329A" w:rsidR="00683B20" w:rsidRDefault="00683B20" w:rsidP="00683B2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9FA588" w14:textId="52A4BAEA" w:rsidR="00472586" w:rsidRDefault="00472586" w:rsidP="00472586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Программные средства и </w:t>
      </w:r>
      <w:r w:rsidR="00110C0B">
        <w:rPr>
          <w:rFonts w:ascii="Times New Roman" w:hAnsi="Times New Roman" w:cs="Times New Roman"/>
          <w:b/>
          <w:color w:val="auto"/>
          <w:sz w:val="24"/>
          <w:szCs w:val="24"/>
        </w:rPr>
        <w:t>план</w:t>
      </w: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исследований</w:t>
      </w:r>
    </w:p>
    <w:p w14:paraId="78C66221" w14:textId="6DAF78DC" w:rsidR="00472586" w:rsidRDefault="00472586" w:rsidP="00472586"/>
    <w:p w14:paraId="7FBC7273" w14:textId="77777777" w:rsidR="00472586" w:rsidRPr="00472586" w:rsidRDefault="00472586" w:rsidP="00472586">
      <w:pPr>
        <w:ind w:left="360"/>
      </w:pPr>
    </w:p>
    <w:p w14:paraId="51FBF039" w14:textId="77777777" w:rsidR="00683B20" w:rsidRDefault="00683B20" w:rsidP="00683B2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18449930"/>
        <w:docPartObj>
          <w:docPartGallery w:val="Bibliographies"/>
          <w:docPartUnique/>
        </w:docPartObj>
      </w:sdtPr>
      <w:sdtContent>
        <w:p w14:paraId="5DF0FEB1" w14:textId="1ECAA1BA" w:rsidR="001F6D86" w:rsidRPr="004C3391" w:rsidRDefault="001F6D86" w:rsidP="004B3F1C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B3F1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Список</w:t>
          </w:r>
          <w:r w:rsidRPr="004C339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</w:t>
          </w:r>
          <w:r w:rsidRPr="004B3F1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литературы</w:t>
          </w:r>
        </w:p>
        <w:p w14:paraId="7E848913" w14:textId="77777777" w:rsidR="004B3F1C" w:rsidRPr="004C3391" w:rsidRDefault="004B3F1C" w:rsidP="004B3F1C"/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6BE37858" w14:textId="77777777" w:rsidR="00AF6448" w:rsidRPr="00AF6448" w:rsidRDefault="001F6D86" w:rsidP="00AF6448">
              <w:pPr>
                <w:pStyle w:val="af5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6C1576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C157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>BIBLIOGRAPHY</w:instrText>
              </w:r>
              <w:r w:rsidRPr="006C1576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F6448" w:rsidRPr="00AF6448">
                <w:rPr>
                  <w:noProof/>
                  <w:lang w:val="en-US"/>
                </w:rPr>
                <w:t>Artzner</w:t>
              </w:r>
              <w:r w:rsidR="00AF6448" w:rsidRPr="00BF43C3">
                <w:rPr>
                  <w:noProof/>
                  <w:lang w:val="en-US"/>
                </w:rPr>
                <w:t xml:space="preserve"> </w:t>
              </w:r>
              <w:r w:rsidR="00AF6448" w:rsidRPr="00AF6448">
                <w:rPr>
                  <w:noProof/>
                  <w:lang w:val="en-US"/>
                </w:rPr>
                <w:t>P</w:t>
              </w:r>
              <w:r w:rsidR="00AF6448" w:rsidRPr="00BF43C3">
                <w:rPr>
                  <w:noProof/>
                  <w:lang w:val="en-US"/>
                </w:rPr>
                <w:t xml:space="preserve">., </w:t>
              </w:r>
              <w:r w:rsidR="00AF6448" w:rsidRPr="00AF6448">
                <w:rPr>
                  <w:noProof/>
                  <w:lang w:val="en-US"/>
                </w:rPr>
                <w:t>Delbaen</w:t>
              </w:r>
              <w:r w:rsidR="00AF6448" w:rsidRPr="00BF43C3">
                <w:rPr>
                  <w:noProof/>
                  <w:lang w:val="en-US"/>
                </w:rPr>
                <w:t xml:space="preserve"> </w:t>
              </w:r>
              <w:r w:rsidR="00AF6448" w:rsidRPr="00AF6448">
                <w:rPr>
                  <w:noProof/>
                  <w:lang w:val="en-US"/>
                </w:rPr>
                <w:t>F</w:t>
              </w:r>
              <w:r w:rsidR="00AF6448" w:rsidRPr="00BF43C3">
                <w:rPr>
                  <w:noProof/>
                  <w:lang w:val="en-US"/>
                </w:rPr>
                <w:t xml:space="preserve">., </w:t>
              </w:r>
              <w:r w:rsidR="00AF6448" w:rsidRPr="00AF6448">
                <w:rPr>
                  <w:noProof/>
                  <w:lang w:val="en-US"/>
                </w:rPr>
                <w:t>Eber</w:t>
              </w:r>
              <w:r w:rsidR="00AF6448" w:rsidRPr="00BF43C3">
                <w:rPr>
                  <w:noProof/>
                  <w:lang w:val="en-US"/>
                </w:rPr>
                <w:t xml:space="preserve"> </w:t>
              </w:r>
              <w:r w:rsidR="00AF6448" w:rsidRPr="00AF6448">
                <w:rPr>
                  <w:noProof/>
                  <w:lang w:val="en-US"/>
                </w:rPr>
                <w:t>J</w:t>
              </w:r>
              <w:r w:rsidR="00AF6448" w:rsidRPr="00BF43C3">
                <w:rPr>
                  <w:noProof/>
                  <w:lang w:val="en-US"/>
                </w:rPr>
                <w:t>.-</w:t>
              </w:r>
              <w:r w:rsidR="00AF6448" w:rsidRPr="00AF6448">
                <w:rPr>
                  <w:noProof/>
                  <w:lang w:val="en-US"/>
                </w:rPr>
                <w:t>M</w:t>
              </w:r>
              <w:r w:rsidR="00AF6448" w:rsidRPr="00BF43C3">
                <w:rPr>
                  <w:noProof/>
                  <w:lang w:val="en-US"/>
                </w:rPr>
                <w:t xml:space="preserve">. </w:t>
              </w:r>
              <w:r w:rsidR="00AF6448" w:rsidRPr="00AF6448">
                <w:rPr>
                  <w:noProof/>
                  <w:lang w:val="en-US"/>
                </w:rPr>
                <w:t>and</w:t>
              </w:r>
              <w:r w:rsidR="00AF6448" w:rsidRPr="00BF43C3">
                <w:rPr>
                  <w:noProof/>
                  <w:lang w:val="en-US"/>
                </w:rPr>
                <w:t xml:space="preserve"> </w:t>
              </w:r>
              <w:r w:rsidR="00AF6448" w:rsidRPr="00AF6448">
                <w:rPr>
                  <w:noProof/>
                  <w:lang w:val="en-US"/>
                </w:rPr>
                <w:t>Heath</w:t>
              </w:r>
              <w:r w:rsidR="00AF6448" w:rsidRPr="00BF43C3">
                <w:rPr>
                  <w:noProof/>
                  <w:lang w:val="en-US"/>
                </w:rPr>
                <w:t xml:space="preserve"> </w:t>
              </w:r>
              <w:r w:rsidR="00AF6448" w:rsidRPr="00AF6448">
                <w:rPr>
                  <w:noProof/>
                  <w:lang w:val="en-US"/>
                </w:rPr>
                <w:t>D</w:t>
              </w:r>
              <w:r w:rsidR="00AF6448" w:rsidRPr="00BF43C3">
                <w:rPr>
                  <w:noProof/>
                  <w:lang w:val="en-US"/>
                </w:rPr>
                <w:t xml:space="preserve">. (1999). </w:t>
              </w:r>
              <w:r w:rsidR="00AF6448" w:rsidRPr="00AF6448">
                <w:rPr>
                  <w:noProof/>
                  <w:lang w:val="en-US"/>
                </w:rPr>
                <w:t>Coherent</w:t>
              </w:r>
              <w:r w:rsidR="00AF6448" w:rsidRPr="00BF43C3">
                <w:rPr>
                  <w:noProof/>
                  <w:lang w:val="en-US"/>
                </w:rPr>
                <w:t xml:space="preserve"> </w:t>
              </w:r>
              <w:r w:rsidR="00AF6448" w:rsidRPr="00AF6448">
                <w:rPr>
                  <w:noProof/>
                  <w:lang w:val="en-US"/>
                </w:rPr>
                <w:t>Measures</w:t>
              </w:r>
              <w:r w:rsidR="00AF6448" w:rsidRPr="00BF43C3">
                <w:rPr>
                  <w:noProof/>
                  <w:lang w:val="en-US"/>
                </w:rPr>
                <w:t xml:space="preserve"> </w:t>
              </w:r>
              <w:r w:rsidR="00AF6448" w:rsidRPr="00AF6448">
                <w:rPr>
                  <w:noProof/>
                  <w:lang w:val="en-US"/>
                </w:rPr>
                <w:t>of</w:t>
              </w:r>
              <w:r w:rsidR="00AF6448" w:rsidRPr="00BF43C3">
                <w:rPr>
                  <w:noProof/>
                  <w:lang w:val="en-US"/>
                </w:rPr>
                <w:t xml:space="preserve"> </w:t>
              </w:r>
              <w:r w:rsidR="00AF6448" w:rsidRPr="00AF6448">
                <w:rPr>
                  <w:noProof/>
                  <w:lang w:val="en-US"/>
                </w:rPr>
                <w:t>Risk</w:t>
              </w:r>
              <w:r w:rsidR="00AF6448" w:rsidRPr="00BF43C3">
                <w:rPr>
                  <w:noProof/>
                  <w:lang w:val="en-US"/>
                </w:rPr>
                <w:t xml:space="preserve">. </w:t>
              </w:r>
              <w:r w:rsidR="00AF6448" w:rsidRPr="00AF6448">
                <w:rPr>
                  <w:i/>
                  <w:iCs/>
                  <w:noProof/>
                  <w:lang w:val="en-US"/>
                </w:rPr>
                <w:t>Mathematical Finance, 9</w:t>
              </w:r>
              <w:r w:rsidR="00AF6448" w:rsidRPr="00AF6448">
                <w:rPr>
                  <w:noProof/>
                  <w:lang w:val="en-US"/>
                </w:rPr>
                <w:t xml:space="preserve">(3), 203-228. </w:t>
              </w:r>
              <w:r w:rsidR="00AF6448">
                <w:rPr>
                  <w:noProof/>
                </w:rPr>
                <w:t>Получено</w:t>
              </w:r>
              <w:r w:rsidR="00AF6448" w:rsidRPr="00AF6448">
                <w:rPr>
                  <w:noProof/>
                  <w:lang w:val="en-US"/>
                </w:rPr>
                <w:t xml:space="preserve"> </w:t>
              </w:r>
              <w:r w:rsidR="00AF6448">
                <w:rPr>
                  <w:noProof/>
                </w:rPr>
                <w:t>из</w:t>
              </w:r>
              <w:r w:rsidR="00AF6448" w:rsidRPr="00AF6448">
                <w:rPr>
                  <w:noProof/>
                  <w:lang w:val="en-US"/>
                </w:rPr>
                <w:t xml:space="preserve"> http://citeseerx.ist.psu.edu/viewdoc/download?doi=10.1.1.196.1056&amp;rep=rep1&amp;type=pdf</w:t>
              </w:r>
            </w:p>
            <w:p w14:paraId="108CC52D" w14:textId="77777777" w:rsidR="00AF6448" w:rsidRPr="00AF6448" w:rsidRDefault="00AF6448" w:rsidP="00AF6448">
              <w:pPr>
                <w:pStyle w:val="af5"/>
                <w:ind w:left="720" w:hanging="720"/>
                <w:rPr>
                  <w:noProof/>
                  <w:lang w:val="en-US"/>
                </w:rPr>
              </w:pPr>
              <w:r w:rsidRPr="00AF6448">
                <w:rPr>
                  <w:noProof/>
                  <w:lang w:val="en-US"/>
                </w:rPr>
                <w:t xml:space="preserve">Birgit Rudloffa, Alexandre Street, Davi M. Valladão. (1 May 2014 </w:t>
              </w:r>
              <w:r>
                <w:rPr>
                  <w:noProof/>
                </w:rPr>
                <w:t>г</w:t>
              </w:r>
              <w:r w:rsidRPr="00AF6448">
                <w:rPr>
                  <w:noProof/>
                  <w:lang w:val="en-US"/>
                </w:rPr>
                <w:t xml:space="preserve">.). Time consistency and risk averse dynamic decision models: Definition, interpretation and practical consequences. </w:t>
              </w:r>
              <w:r w:rsidRPr="00AF6448">
                <w:rPr>
                  <w:i/>
                  <w:iCs/>
                  <w:noProof/>
                  <w:lang w:val="en-US"/>
                </w:rPr>
                <w:t>European Journal of Operational Research, 234</w:t>
              </w:r>
              <w:r w:rsidRPr="00AF6448">
                <w:rPr>
                  <w:noProof/>
                  <w:lang w:val="en-US"/>
                </w:rPr>
                <w:t xml:space="preserve">(3), </w:t>
              </w:r>
              <w:r>
                <w:rPr>
                  <w:noProof/>
                </w:rPr>
                <w:t>стр</w:t>
              </w:r>
              <w:r w:rsidRPr="00AF6448">
                <w:rPr>
                  <w:noProof/>
                  <w:lang w:val="en-US"/>
                </w:rPr>
                <w:t xml:space="preserve">. 743-750. </w:t>
              </w:r>
              <w:r>
                <w:rPr>
                  <w:noProof/>
                </w:rPr>
                <w:t>Получено</w:t>
              </w:r>
              <w:r w:rsidRPr="00AF6448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из</w:t>
              </w:r>
              <w:r w:rsidRPr="00AF6448">
                <w:rPr>
                  <w:noProof/>
                  <w:lang w:val="en-US"/>
                </w:rPr>
                <w:t xml:space="preserve"> http://www.optimization-online.org/DB_FILE/2010/12/2860.pdf</w:t>
              </w:r>
            </w:p>
            <w:p w14:paraId="037516E8" w14:textId="77777777" w:rsidR="00AF6448" w:rsidRPr="00AF6448" w:rsidRDefault="00AF6448" w:rsidP="00AF6448">
              <w:pPr>
                <w:pStyle w:val="af5"/>
                <w:ind w:left="720" w:hanging="720"/>
                <w:rPr>
                  <w:noProof/>
                  <w:lang w:val="en-US"/>
                </w:rPr>
              </w:pPr>
              <w:r w:rsidRPr="00AF6448">
                <w:rPr>
                  <w:noProof/>
                  <w:lang w:val="en-US"/>
                </w:rPr>
                <w:t xml:space="preserve">Rockafellar R.T. and Uryasev S. . (2002). Conditional Value-at-Risk for general distributions. </w:t>
              </w:r>
              <w:r w:rsidRPr="00AF6448">
                <w:rPr>
                  <w:i/>
                  <w:iCs/>
                  <w:noProof/>
                  <w:lang w:val="en-US"/>
                </w:rPr>
                <w:t>Journal of Banking and Finance, 26</w:t>
              </w:r>
              <w:r w:rsidRPr="00AF6448">
                <w:rPr>
                  <w:noProof/>
                  <w:lang w:val="en-US"/>
                </w:rPr>
                <w:t xml:space="preserve">(7), 1443–1471. </w:t>
              </w:r>
              <w:r>
                <w:rPr>
                  <w:noProof/>
                </w:rPr>
                <w:t>Получено</w:t>
              </w:r>
              <w:r w:rsidRPr="00AF6448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из</w:t>
              </w:r>
              <w:r w:rsidRPr="00AF6448">
                <w:rPr>
                  <w:noProof/>
                  <w:lang w:val="en-US"/>
                </w:rPr>
                <w:t xml:space="preserve"> http://www.ise.ufl.edu/uryasev/files/2011/11/cvar2_jbf.pdf</w:t>
              </w:r>
            </w:p>
            <w:p w14:paraId="3DFC87AA" w14:textId="77777777" w:rsidR="00AF6448" w:rsidRDefault="00AF6448" w:rsidP="00AF6448">
              <w:pPr>
                <w:pStyle w:val="af5"/>
                <w:ind w:left="720" w:hanging="720"/>
                <w:rPr>
                  <w:noProof/>
                </w:rPr>
              </w:pPr>
              <w:r w:rsidRPr="00AF6448">
                <w:rPr>
                  <w:noProof/>
                  <w:lang w:val="en-US"/>
                </w:rPr>
                <w:t xml:space="preserve">Rockafellar R.T. and Uryasev S. (2000). The Journal of Risk. </w:t>
              </w:r>
              <w:r w:rsidRPr="00AF6448">
                <w:rPr>
                  <w:i/>
                  <w:iCs/>
                  <w:noProof/>
                  <w:lang w:val="en-US"/>
                </w:rPr>
                <w:t>Journal of Banking and Finance, 2</w:t>
              </w:r>
              <w:r w:rsidRPr="00AF6448">
                <w:rPr>
                  <w:noProof/>
                  <w:lang w:val="en-US"/>
                </w:rPr>
                <w:t xml:space="preserve">(3), 21-41. </w:t>
              </w:r>
              <w:r>
                <w:rPr>
                  <w:noProof/>
                </w:rPr>
                <w:t>Получено из http://www.ise.ufl.edu/uryasev/files/2011/11/CVaR1_JOR.pdf</w:t>
              </w:r>
            </w:p>
            <w:p w14:paraId="1BED663E" w14:textId="77777777" w:rsidR="00AF6448" w:rsidRPr="00AF6448" w:rsidRDefault="00AF6448" w:rsidP="00AF6448">
              <w:pPr>
                <w:pStyle w:val="af5"/>
                <w:ind w:left="720" w:hanging="720"/>
                <w:rPr>
                  <w:noProof/>
                  <w:lang w:val="en-US"/>
                </w:rPr>
              </w:pPr>
              <w:r w:rsidRPr="00AF6448">
                <w:rPr>
                  <w:noProof/>
                  <w:lang w:val="en-US"/>
                </w:rPr>
                <w:t xml:space="preserve">Troha, M. (2011). </w:t>
              </w:r>
              <w:r w:rsidRPr="00AF6448">
                <w:rPr>
                  <w:i/>
                  <w:iCs/>
                  <w:noProof/>
                  <w:lang w:val="en-US"/>
                </w:rPr>
                <w:t>Portfolio Optimization as Stochastic Programming with Polynomial Decision Rules.</w:t>
              </w:r>
              <w:r w:rsidRPr="00AF6448">
                <w:rPr>
                  <w:noProof/>
                  <w:lang w:val="en-US"/>
                </w:rPr>
                <w:t xml:space="preserve"> London: Imperial College London, Department of Computing. </w:t>
              </w:r>
              <w:r>
                <w:rPr>
                  <w:noProof/>
                </w:rPr>
                <w:t>Получено</w:t>
              </w:r>
              <w:r w:rsidRPr="00AF6448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из</w:t>
              </w:r>
              <w:r w:rsidRPr="00AF6448">
                <w:rPr>
                  <w:noProof/>
                  <w:lang w:val="en-US"/>
                </w:rPr>
                <w:t xml:space="preserve"> http://www.doc.ic.ac.uk/teaching/distinguished-projects/2011/m.troha.pdf</w:t>
              </w:r>
            </w:p>
            <w:p w14:paraId="5E6352E7" w14:textId="091729BF" w:rsidR="00847D71" w:rsidRDefault="001F6D86" w:rsidP="00AF6448">
              <w:pPr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6C1576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DFB29CC" w14:textId="3C3636FD" w:rsidR="007E1028" w:rsidRPr="00683B20" w:rsidRDefault="007E1028" w:rsidP="00683B20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3B2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</w:p>
    <w:sectPr w:rsidR="007E1028" w:rsidRPr="00683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6DF0"/>
    <w:multiLevelType w:val="hybridMultilevel"/>
    <w:tmpl w:val="86B2F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7F7E"/>
    <w:multiLevelType w:val="hybridMultilevel"/>
    <w:tmpl w:val="BBAA0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8753A"/>
    <w:multiLevelType w:val="multilevel"/>
    <w:tmpl w:val="171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51D32"/>
    <w:multiLevelType w:val="hybridMultilevel"/>
    <w:tmpl w:val="1EC4BEB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66BEB"/>
    <w:multiLevelType w:val="multilevel"/>
    <w:tmpl w:val="DFD6A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382757"/>
    <w:multiLevelType w:val="hybridMultilevel"/>
    <w:tmpl w:val="FABED1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2D37B3"/>
    <w:multiLevelType w:val="multilevel"/>
    <w:tmpl w:val="E1065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3785F82"/>
    <w:multiLevelType w:val="hybridMultilevel"/>
    <w:tmpl w:val="5AB68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30DAE"/>
    <w:multiLevelType w:val="multilevel"/>
    <w:tmpl w:val="DFD6A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D5848D5"/>
    <w:multiLevelType w:val="multilevel"/>
    <w:tmpl w:val="D0FA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86BDF"/>
    <w:multiLevelType w:val="hybridMultilevel"/>
    <w:tmpl w:val="B9B28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D0CE1"/>
    <w:multiLevelType w:val="hybridMultilevel"/>
    <w:tmpl w:val="ACD86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42816"/>
    <w:multiLevelType w:val="multilevel"/>
    <w:tmpl w:val="AD66C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9613EFC"/>
    <w:multiLevelType w:val="multilevel"/>
    <w:tmpl w:val="A38227E2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13"/>
  </w:num>
  <w:num w:numId="7">
    <w:abstractNumId w:val="3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D2"/>
    <w:rsid w:val="000046C8"/>
    <w:rsid w:val="0001318A"/>
    <w:rsid w:val="000201D4"/>
    <w:rsid w:val="00020FFF"/>
    <w:rsid w:val="00040FD7"/>
    <w:rsid w:val="00043058"/>
    <w:rsid w:val="000557C2"/>
    <w:rsid w:val="00056DEC"/>
    <w:rsid w:val="00057FFA"/>
    <w:rsid w:val="0007209F"/>
    <w:rsid w:val="00073907"/>
    <w:rsid w:val="0007455B"/>
    <w:rsid w:val="0007536D"/>
    <w:rsid w:val="0009485B"/>
    <w:rsid w:val="00094C56"/>
    <w:rsid w:val="000A6E35"/>
    <w:rsid w:val="000C775F"/>
    <w:rsid w:val="000D098D"/>
    <w:rsid w:val="000D25C1"/>
    <w:rsid w:val="000E28AA"/>
    <w:rsid w:val="000F1122"/>
    <w:rsid w:val="001039AF"/>
    <w:rsid w:val="00103E93"/>
    <w:rsid w:val="00106D45"/>
    <w:rsid w:val="00110C0B"/>
    <w:rsid w:val="00112DC2"/>
    <w:rsid w:val="00120718"/>
    <w:rsid w:val="00121306"/>
    <w:rsid w:val="00124D3E"/>
    <w:rsid w:val="001273C3"/>
    <w:rsid w:val="00136B42"/>
    <w:rsid w:val="00154F83"/>
    <w:rsid w:val="00164751"/>
    <w:rsid w:val="001665AA"/>
    <w:rsid w:val="00167C74"/>
    <w:rsid w:val="00170B6F"/>
    <w:rsid w:val="001724BF"/>
    <w:rsid w:val="0018624C"/>
    <w:rsid w:val="001A3320"/>
    <w:rsid w:val="001B023E"/>
    <w:rsid w:val="001B22A6"/>
    <w:rsid w:val="001C0326"/>
    <w:rsid w:val="001C0C86"/>
    <w:rsid w:val="001C7112"/>
    <w:rsid w:val="001D001C"/>
    <w:rsid w:val="001D13EF"/>
    <w:rsid w:val="001D1C29"/>
    <w:rsid w:val="001D62FC"/>
    <w:rsid w:val="001E2B58"/>
    <w:rsid w:val="001F6D86"/>
    <w:rsid w:val="002061EA"/>
    <w:rsid w:val="00206E3E"/>
    <w:rsid w:val="0023561C"/>
    <w:rsid w:val="0024041F"/>
    <w:rsid w:val="00245158"/>
    <w:rsid w:val="00264E77"/>
    <w:rsid w:val="0026792F"/>
    <w:rsid w:val="00293F95"/>
    <w:rsid w:val="002A5C11"/>
    <w:rsid w:val="002B0164"/>
    <w:rsid w:val="002B56F6"/>
    <w:rsid w:val="002C3077"/>
    <w:rsid w:val="002D4F9B"/>
    <w:rsid w:val="002D7DF1"/>
    <w:rsid w:val="002E75B6"/>
    <w:rsid w:val="002F61F0"/>
    <w:rsid w:val="0030363D"/>
    <w:rsid w:val="00340A22"/>
    <w:rsid w:val="00343AB2"/>
    <w:rsid w:val="00352C63"/>
    <w:rsid w:val="00356530"/>
    <w:rsid w:val="00362271"/>
    <w:rsid w:val="00365230"/>
    <w:rsid w:val="003654D2"/>
    <w:rsid w:val="00366FBA"/>
    <w:rsid w:val="00373969"/>
    <w:rsid w:val="00376B30"/>
    <w:rsid w:val="00383FB0"/>
    <w:rsid w:val="00384F17"/>
    <w:rsid w:val="00390665"/>
    <w:rsid w:val="00397396"/>
    <w:rsid w:val="003A44EA"/>
    <w:rsid w:val="003B65ED"/>
    <w:rsid w:val="003C56A7"/>
    <w:rsid w:val="003F1E6C"/>
    <w:rsid w:val="003F2C2E"/>
    <w:rsid w:val="00407989"/>
    <w:rsid w:val="004103AE"/>
    <w:rsid w:val="0041190C"/>
    <w:rsid w:val="00414453"/>
    <w:rsid w:val="00415B32"/>
    <w:rsid w:val="004167CE"/>
    <w:rsid w:val="00416832"/>
    <w:rsid w:val="00427923"/>
    <w:rsid w:val="00430E98"/>
    <w:rsid w:val="0044476A"/>
    <w:rsid w:val="0044751D"/>
    <w:rsid w:val="00456818"/>
    <w:rsid w:val="00460B26"/>
    <w:rsid w:val="00464201"/>
    <w:rsid w:val="004677D1"/>
    <w:rsid w:val="00472364"/>
    <w:rsid w:val="00472586"/>
    <w:rsid w:val="00474159"/>
    <w:rsid w:val="00474195"/>
    <w:rsid w:val="0048424A"/>
    <w:rsid w:val="00485162"/>
    <w:rsid w:val="004961FF"/>
    <w:rsid w:val="004A5B42"/>
    <w:rsid w:val="004A7E88"/>
    <w:rsid w:val="004B3F1C"/>
    <w:rsid w:val="004C3391"/>
    <w:rsid w:val="004C353A"/>
    <w:rsid w:val="004C54F1"/>
    <w:rsid w:val="004E084B"/>
    <w:rsid w:val="004F4D92"/>
    <w:rsid w:val="004F5A1C"/>
    <w:rsid w:val="004F65B4"/>
    <w:rsid w:val="00501C1E"/>
    <w:rsid w:val="005025CA"/>
    <w:rsid w:val="00517739"/>
    <w:rsid w:val="005202B8"/>
    <w:rsid w:val="00524132"/>
    <w:rsid w:val="00526AC9"/>
    <w:rsid w:val="00532933"/>
    <w:rsid w:val="00550DDD"/>
    <w:rsid w:val="00565520"/>
    <w:rsid w:val="00566E5A"/>
    <w:rsid w:val="00573ED7"/>
    <w:rsid w:val="00591105"/>
    <w:rsid w:val="005935E9"/>
    <w:rsid w:val="00594D34"/>
    <w:rsid w:val="005C73B1"/>
    <w:rsid w:val="005D1974"/>
    <w:rsid w:val="005E5BF9"/>
    <w:rsid w:val="005F2D98"/>
    <w:rsid w:val="00600029"/>
    <w:rsid w:val="00604680"/>
    <w:rsid w:val="00620D4D"/>
    <w:rsid w:val="00624BE3"/>
    <w:rsid w:val="00624CBB"/>
    <w:rsid w:val="00627FD4"/>
    <w:rsid w:val="00630B15"/>
    <w:rsid w:val="006333EE"/>
    <w:rsid w:val="00633677"/>
    <w:rsid w:val="00633EF5"/>
    <w:rsid w:val="00656296"/>
    <w:rsid w:val="00671039"/>
    <w:rsid w:val="00673715"/>
    <w:rsid w:val="00677728"/>
    <w:rsid w:val="006805BD"/>
    <w:rsid w:val="00683B20"/>
    <w:rsid w:val="006B22F5"/>
    <w:rsid w:val="006C0BBD"/>
    <w:rsid w:val="006C1576"/>
    <w:rsid w:val="006D07AE"/>
    <w:rsid w:val="006E1DF8"/>
    <w:rsid w:val="006E2388"/>
    <w:rsid w:val="007067B9"/>
    <w:rsid w:val="0071175C"/>
    <w:rsid w:val="00713ED0"/>
    <w:rsid w:val="00715724"/>
    <w:rsid w:val="00724471"/>
    <w:rsid w:val="00734B81"/>
    <w:rsid w:val="00740A21"/>
    <w:rsid w:val="00747F9D"/>
    <w:rsid w:val="00753134"/>
    <w:rsid w:val="00753533"/>
    <w:rsid w:val="00756E63"/>
    <w:rsid w:val="00767E4A"/>
    <w:rsid w:val="007A2562"/>
    <w:rsid w:val="007A26D9"/>
    <w:rsid w:val="007B0113"/>
    <w:rsid w:val="007B214C"/>
    <w:rsid w:val="007B5EB2"/>
    <w:rsid w:val="007C0579"/>
    <w:rsid w:val="007C78FE"/>
    <w:rsid w:val="007D202D"/>
    <w:rsid w:val="007E1028"/>
    <w:rsid w:val="0080384E"/>
    <w:rsid w:val="00807BE1"/>
    <w:rsid w:val="00813FDC"/>
    <w:rsid w:val="00815D2E"/>
    <w:rsid w:val="00820906"/>
    <w:rsid w:val="00824DB8"/>
    <w:rsid w:val="00827DC5"/>
    <w:rsid w:val="00830E39"/>
    <w:rsid w:val="00831B8A"/>
    <w:rsid w:val="0083636F"/>
    <w:rsid w:val="00847D71"/>
    <w:rsid w:val="00874947"/>
    <w:rsid w:val="008762B7"/>
    <w:rsid w:val="00885BB0"/>
    <w:rsid w:val="008862D7"/>
    <w:rsid w:val="008A255B"/>
    <w:rsid w:val="008A3CC7"/>
    <w:rsid w:val="008B59A9"/>
    <w:rsid w:val="008B63D2"/>
    <w:rsid w:val="008C1CE8"/>
    <w:rsid w:val="008C29F3"/>
    <w:rsid w:val="008C6FA7"/>
    <w:rsid w:val="008D6C64"/>
    <w:rsid w:val="009016FC"/>
    <w:rsid w:val="00906C41"/>
    <w:rsid w:val="00910203"/>
    <w:rsid w:val="009105FE"/>
    <w:rsid w:val="00916A58"/>
    <w:rsid w:val="009206C2"/>
    <w:rsid w:val="009248CA"/>
    <w:rsid w:val="00924E2B"/>
    <w:rsid w:val="00932ECC"/>
    <w:rsid w:val="00935C2D"/>
    <w:rsid w:val="00943BE4"/>
    <w:rsid w:val="0098790F"/>
    <w:rsid w:val="00993E89"/>
    <w:rsid w:val="009A7364"/>
    <w:rsid w:val="009B11C1"/>
    <w:rsid w:val="009B29F1"/>
    <w:rsid w:val="009B6A87"/>
    <w:rsid w:val="009C13BA"/>
    <w:rsid w:val="009F61B7"/>
    <w:rsid w:val="00A033D7"/>
    <w:rsid w:val="00A03BBC"/>
    <w:rsid w:val="00A0536C"/>
    <w:rsid w:val="00A1233C"/>
    <w:rsid w:val="00A22B8B"/>
    <w:rsid w:val="00A33F0D"/>
    <w:rsid w:val="00A402FD"/>
    <w:rsid w:val="00A63221"/>
    <w:rsid w:val="00A6689E"/>
    <w:rsid w:val="00A76ECC"/>
    <w:rsid w:val="00A87192"/>
    <w:rsid w:val="00A9656E"/>
    <w:rsid w:val="00A96AE1"/>
    <w:rsid w:val="00A97892"/>
    <w:rsid w:val="00AB3784"/>
    <w:rsid w:val="00AD3BEE"/>
    <w:rsid w:val="00AE2644"/>
    <w:rsid w:val="00AE3BFC"/>
    <w:rsid w:val="00AE7756"/>
    <w:rsid w:val="00AF5CC5"/>
    <w:rsid w:val="00AF6448"/>
    <w:rsid w:val="00AF7881"/>
    <w:rsid w:val="00AF794A"/>
    <w:rsid w:val="00B02596"/>
    <w:rsid w:val="00B14EA1"/>
    <w:rsid w:val="00B2135A"/>
    <w:rsid w:val="00B24069"/>
    <w:rsid w:val="00B268A5"/>
    <w:rsid w:val="00B30486"/>
    <w:rsid w:val="00B3314C"/>
    <w:rsid w:val="00B335C6"/>
    <w:rsid w:val="00B35933"/>
    <w:rsid w:val="00B36B9F"/>
    <w:rsid w:val="00B57CD7"/>
    <w:rsid w:val="00B66D3B"/>
    <w:rsid w:val="00B73C9B"/>
    <w:rsid w:val="00B7758B"/>
    <w:rsid w:val="00B83AF1"/>
    <w:rsid w:val="00B86E49"/>
    <w:rsid w:val="00B87435"/>
    <w:rsid w:val="00B91E76"/>
    <w:rsid w:val="00BA320A"/>
    <w:rsid w:val="00BA7ABB"/>
    <w:rsid w:val="00BB1C9C"/>
    <w:rsid w:val="00BB2D53"/>
    <w:rsid w:val="00BB7BF1"/>
    <w:rsid w:val="00BD12DD"/>
    <w:rsid w:val="00BD1FAC"/>
    <w:rsid w:val="00BD3611"/>
    <w:rsid w:val="00BE19D6"/>
    <w:rsid w:val="00BE1CE6"/>
    <w:rsid w:val="00BE48E4"/>
    <w:rsid w:val="00BE73C0"/>
    <w:rsid w:val="00BF195F"/>
    <w:rsid w:val="00BF1FD3"/>
    <w:rsid w:val="00BF43C3"/>
    <w:rsid w:val="00C00C24"/>
    <w:rsid w:val="00C046E1"/>
    <w:rsid w:val="00C06CD9"/>
    <w:rsid w:val="00C1050D"/>
    <w:rsid w:val="00C24DB2"/>
    <w:rsid w:val="00C31F94"/>
    <w:rsid w:val="00C749AA"/>
    <w:rsid w:val="00C76F69"/>
    <w:rsid w:val="00C8515B"/>
    <w:rsid w:val="00C8726B"/>
    <w:rsid w:val="00C950B9"/>
    <w:rsid w:val="00C96F00"/>
    <w:rsid w:val="00C9781C"/>
    <w:rsid w:val="00CA3B26"/>
    <w:rsid w:val="00CC0368"/>
    <w:rsid w:val="00CC0DC4"/>
    <w:rsid w:val="00CC252E"/>
    <w:rsid w:val="00CC7A39"/>
    <w:rsid w:val="00CD2AC2"/>
    <w:rsid w:val="00CD7B6F"/>
    <w:rsid w:val="00D03395"/>
    <w:rsid w:val="00D03508"/>
    <w:rsid w:val="00D13FE6"/>
    <w:rsid w:val="00D14AB4"/>
    <w:rsid w:val="00D23A57"/>
    <w:rsid w:val="00D34E70"/>
    <w:rsid w:val="00D36C21"/>
    <w:rsid w:val="00D4516B"/>
    <w:rsid w:val="00D61134"/>
    <w:rsid w:val="00D62C5E"/>
    <w:rsid w:val="00D6440B"/>
    <w:rsid w:val="00D64989"/>
    <w:rsid w:val="00D87A57"/>
    <w:rsid w:val="00DA318F"/>
    <w:rsid w:val="00DA3432"/>
    <w:rsid w:val="00DB4C77"/>
    <w:rsid w:val="00DB5168"/>
    <w:rsid w:val="00DC49A9"/>
    <w:rsid w:val="00DD0ED3"/>
    <w:rsid w:val="00DD416A"/>
    <w:rsid w:val="00DE01A6"/>
    <w:rsid w:val="00DE01A8"/>
    <w:rsid w:val="00DE2612"/>
    <w:rsid w:val="00DF42EE"/>
    <w:rsid w:val="00DF5B36"/>
    <w:rsid w:val="00DF5C7F"/>
    <w:rsid w:val="00E00AD6"/>
    <w:rsid w:val="00E15F49"/>
    <w:rsid w:val="00E33CFC"/>
    <w:rsid w:val="00E41D77"/>
    <w:rsid w:val="00E4580E"/>
    <w:rsid w:val="00E60A23"/>
    <w:rsid w:val="00E63D60"/>
    <w:rsid w:val="00E64626"/>
    <w:rsid w:val="00E77B51"/>
    <w:rsid w:val="00EB0D75"/>
    <w:rsid w:val="00EB293F"/>
    <w:rsid w:val="00EB47AD"/>
    <w:rsid w:val="00EC7CCC"/>
    <w:rsid w:val="00ED19AA"/>
    <w:rsid w:val="00ED1AC3"/>
    <w:rsid w:val="00ED5A5E"/>
    <w:rsid w:val="00ED6A8F"/>
    <w:rsid w:val="00ED716A"/>
    <w:rsid w:val="00EE4D17"/>
    <w:rsid w:val="00EE794D"/>
    <w:rsid w:val="00EF0790"/>
    <w:rsid w:val="00EF56A1"/>
    <w:rsid w:val="00F06DEF"/>
    <w:rsid w:val="00F10C13"/>
    <w:rsid w:val="00F226EC"/>
    <w:rsid w:val="00F237FC"/>
    <w:rsid w:val="00F26403"/>
    <w:rsid w:val="00F279F6"/>
    <w:rsid w:val="00F407AC"/>
    <w:rsid w:val="00F412B2"/>
    <w:rsid w:val="00F441A9"/>
    <w:rsid w:val="00F45BBF"/>
    <w:rsid w:val="00F46169"/>
    <w:rsid w:val="00F46D71"/>
    <w:rsid w:val="00F54209"/>
    <w:rsid w:val="00F60358"/>
    <w:rsid w:val="00F64332"/>
    <w:rsid w:val="00F6647D"/>
    <w:rsid w:val="00F67BDE"/>
    <w:rsid w:val="00F84B90"/>
    <w:rsid w:val="00F86C7F"/>
    <w:rsid w:val="00F95EE3"/>
    <w:rsid w:val="00FA6519"/>
    <w:rsid w:val="00FA7674"/>
    <w:rsid w:val="00FB1E0A"/>
    <w:rsid w:val="00FB4BAB"/>
    <w:rsid w:val="00FC37A6"/>
    <w:rsid w:val="00FC40F3"/>
    <w:rsid w:val="00FD4D93"/>
    <w:rsid w:val="00FE2D7D"/>
    <w:rsid w:val="00FE369F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589A"/>
  <w15:chartTrackingRefBased/>
  <w15:docId w15:val="{E7C07CFA-FED5-4890-84D9-3D9AF243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7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3D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93F9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3F9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93F9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93F9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93F9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93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93F95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8A3CC7"/>
    <w:rPr>
      <w:color w:val="808080"/>
    </w:rPr>
  </w:style>
  <w:style w:type="table" w:styleId="ac">
    <w:name w:val="Table Grid"/>
    <w:basedOn w:val="a1"/>
    <w:uiPriority w:val="39"/>
    <w:rsid w:val="0091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D5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4741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474159"/>
    <w:rPr>
      <w:rFonts w:eastAsiaTheme="minorEastAsia"/>
      <w:color w:val="5A5A5A" w:themeColor="text1" w:themeTint="A5"/>
      <w:spacing w:val="15"/>
    </w:rPr>
  </w:style>
  <w:style w:type="paragraph" w:styleId="af">
    <w:name w:val="TOC Heading"/>
    <w:basedOn w:val="1"/>
    <w:next w:val="a"/>
    <w:uiPriority w:val="39"/>
    <w:unhideWhenUsed/>
    <w:qFormat/>
    <w:rsid w:val="004741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4159"/>
    <w:pPr>
      <w:spacing w:after="100"/>
    </w:pPr>
  </w:style>
  <w:style w:type="character" w:styleId="af0">
    <w:name w:val="Hyperlink"/>
    <w:basedOn w:val="a0"/>
    <w:uiPriority w:val="99"/>
    <w:unhideWhenUsed/>
    <w:rsid w:val="00474159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474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74159"/>
  </w:style>
  <w:style w:type="paragraph" w:styleId="af3">
    <w:name w:val="footer"/>
    <w:basedOn w:val="a"/>
    <w:link w:val="af4"/>
    <w:uiPriority w:val="99"/>
    <w:unhideWhenUsed/>
    <w:rsid w:val="00474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74159"/>
  </w:style>
  <w:style w:type="paragraph" w:styleId="af5">
    <w:name w:val="Bibliography"/>
    <w:basedOn w:val="a"/>
    <w:next w:val="a"/>
    <w:uiPriority w:val="37"/>
    <w:unhideWhenUsed/>
    <w:rsid w:val="00474159"/>
  </w:style>
  <w:style w:type="paragraph" w:styleId="af6">
    <w:name w:val="footnote text"/>
    <w:basedOn w:val="a"/>
    <w:link w:val="af7"/>
    <w:uiPriority w:val="99"/>
    <w:semiHidden/>
    <w:unhideWhenUsed/>
    <w:rsid w:val="00474159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74159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74159"/>
    <w:rPr>
      <w:vertAlign w:val="superscript"/>
    </w:rPr>
  </w:style>
  <w:style w:type="paragraph" w:styleId="af9">
    <w:name w:val="Normal (Web)"/>
    <w:basedOn w:val="a"/>
    <w:uiPriority w:val="99"/>
    <w:semiHidden/>
    <w:unhideWhenUsed/>
    <w:rsid w:val="004741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7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65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561409935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351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004086250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D"/>
    <w:rsid w:val="005A1D67"/>
    <w:rsid w:val="00701B43"/>
    <w:rsid w:val="009E3A3D"/>
    <w:rsid w:val="00E5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1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Art99</b:Tag>
    <b:SourceType>JournalArticle</b:SourceType>
    <b:Guid>{B26FC717-7139-4ACD-85F7-7820D178BA13}</b:Guid>
    <b:Author>
      <b:Author>
        <b:Corporate>Artzner P., Delbaen F., Eber J.-M. and Heath D.</b:Corporate>
      </b:Author>
    </b:Author>
    <b:Title>Coherent Measures of Risk</b:Title>
    <b:JournalName>Mathematical Finance</b:JournalName>
    <b:Year>1999</b:Year>
    <b:Pages>203-228</b:Pages>
    <b:Volume>9</b:Volume>
    <b:URL>http://citeseerx.ist.psu.edu/viewdoc/download?doi=10.1.1.196.1056&amp;rep=rep1&amp;type=pdf</b:URL>
    <b:Issue>3</b:Issue>
    <b:RefOrder>1</b:RefOrder>
  </b:Source>
  <b:Source>
    <b:Tag>RTR00</b:Tag>
    <b:SourceType>JournalArticle</b:SourceType>
    <b:Guid>{0CCDA6A7-B441-4D7A-8F97-69709008EECD}</b:Guid>
    <b:Title>The Journal of Risk</b:Title>
    <b:JournalName>Journal of Banking and Finance</b:JournalName>
    <b:Year>2000</b:Year>
    <b:Pages>21-41</b:Pages>
    <b:Author>
      <b:Author>
        <b:Corporate>Rockafellar R.T. and Uryasev S.</b:Corporate>
      </b:Author>
    </b:Author>
    <b:Volume>2</b:Volume>
    <b:Issue>3</b:Issue>
    <b:URL>http://www.ise.ufl.edu/uryasev/files/2011/11/CVaR1_JOR.pdf</b:URL>
    <b:RefOrder>2</b:RefOrder>
  </b:Source>
  <b:Source>
    <b:Tag>Roc02</b:Tag>
    <b:SourceType>JournalArticle</b:SourceType>
    <b:Guid>{71DDCFD7-C034-45F2-A032-A17FE05C84D2}</b:Guid>
    <b:Author>
      <b:Author>
        <b:Corporate>Rockafellar R.T. and Uryasev S. </b:Corporate>
      </b:Author>
    </b:Author>
    <b:Title>Conditional Value-at-Risk for general distributions</b:Title>
    <b:JournalName>Journal of Banking and Finance</b:JournalName>
    <b:Year>2002</b:Year>
    <b:Pages>1443–1471</b:Pages>
    <b:Volume>26</b:Volume>
    <b:Issue>7</b:Issue>
    <b:URL>http://www.ise.ufl.edu/uryasev/files/2011/11/cvar2_jbf.pdf</b:URL>
    <b:RefOrder>3</b:RefOrder>
  </b:Source>
  <b:Source>
    <b:Tag>Bir</b:Tag>
    <b:SourceType>ArticleInAPeriodical</b:SourceType>
    <b:Guid>{2CC8DA73-859E-4AE4-A3D7-E6AFDF68529D}</b:Guid>
    <b:Author>
      <b:Author>
        <b:Corporate>Birgit Rudloffa, Alexandre Street, Davi M. Valladão</b:Corporate>
      </b:Author>
    </b:Author>
    <b:Title>Time consistency and risk averse dynamic decision models: Definition, interpretation and practical consequences</b:Title>
    <b:PeriodicalTitle>European Journal of Operational Research</b:PeriodicalTitle>
    <b:Year>2014</b:Year>
    <b:Month>May</b:Month>
    <b:Day>1</b:Day>
    <b:Pages>743-750</b:Pages>
    <b:Volume>234</b:Volume>
    <b:Issue>3</b:Issue>
    <b:URL>http://www.optimization-online.org/DB_FILE/2010/12/2860.pdf</b:URL>
    <b:RefOrder>4</b:RefOrder>
  </b:Source>
  <b:Source>
    <b:Tag>Tro11</b:Tag>
    <b:SourceType>Book</b:SourceType>
    <b:Guid>{940E4C4A-EBBF-4021-8FC6-6843B2460001}</b:Guid>
    <b:Title>Portfolio Optimization as Stochastic Programming with Polynomial Decision Rules</b:Title>
    <b:Year>2011</b:Year>
    <b:Pages>77</b:Pages>
    <b:Author>
      <b:Author>
        <b:NameList>
          <b:Person>
            <b:Last>Troha</b:Last>
            <b:First>M.</b:First>
          </b:Person>
        </b:NameList>
      </b:Author>
    </b:Author>
    <b:City>London</b:City>
    <b:Publisher>Imperial College London, Department of Computing</b:Publisher>
    <b:URL>http://www.doc.ic.ac.uk/teaching/distinguished-projects/2011/m.troha.pdf</b:URL>
    <b:RefOrder>5</b:RefOrder>
  </b:Source>
</b:Sources>
</file>

<file path=customXml/itemProps1.xml><?xml version="1.0" encoding="utf-8"?>
<ds:datastoreItem xmlns:ds="http://schemas.openxmlformats.org/officeDocument/2006/customXml" ds:itemID="{B25F0ADF-2D22-45BC-8DAE-35B61A55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3393</Words>
  <Characters>19343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GOLEMBIOVSKY</dc:creator>
  <cp:keywords/>
  <dc:description/>
  <cp:lastModifiedBy>Дмитрий</cp:lastModifiedBy>
  <cp:revision>27</cp:revision>
  <dcterms:created xsi:type="dcterms:W3CDTF">2016-03-26T19:03:00Z</dcterms:created>
  <dcterms:modified xsi:type="dcterms:W3CDTF">2016-03-27T19:48:00Z</dcterms:modified>
</cp:coreProperties>
</file>