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CRE Space Intelligence — Pre-Build Requirements</w:t>
      </w:r>
    </w:p>
    <w:p>
      <w:pPr>
        <w:pStyle w:val="Heading3"/>
        <w:pStyle w:val="MdHeading3"/>
      </w:pPr>
      <w:r>
        <w:t xml:space="preserve">Everything Needed Before Development Begins</w:t>
      </w:r>
    </w:p>
    <w:p>
      <w:pPr>
        <w:pStyle w:val="MdParagraph"/>
      </w:pPr>
      <w:r>
        <w:rPr>
          <w:rStyle w:val="MdStrong"/>
          <w:b/>
          <w:bCs/>
        </w:rPr>
        <w:t xml:space="preserve">Prepared by Manus AI for CREEL Solutions LLC</w:t>
      </w:r>
      <w:r>
        <w:t xml:space="preserve">
</w:t>
      </w:r>
      <w:r>
        <w:rPr>
          <w:rStyle w:val="MdStrong"/>
          <w:b/>
          <w:bCs/>
        </w:rPr>
        <w:t xml:space="preserve">Date: March 9, 2026</w:t>
      </w:r>
    </w:p>
    <w:p>
      <w:pPr>
        <w:pStyle w:val="MdSpace"/>
        <w:spacing w:before="0" w:after="60"/>
      </w:pPr>
    </w:p>
    <w:p>
      <w:pPr>
        <w:pStyle w:val="MdHr"/>
        <w:pBdr>
          <w:bottom w:val="single" w:color="auto" w:sz="6" w:space="1"/>
        </w:pBdr>
      </w:pPr>
    </w:p>
    <w:p>
      <w:pPr>
        <w:pStyle w:val="MdSpace"/>
        <w:spacing w:before="0" w:after="60"/>
      </w:pPr>
    </w:p>
    <w:p>
      <w:pPr>
        <w:pStyle w:val="MdBlockquote"/>
      </w:pPr>
      <w:r>
        <w:t xml:space="preserve">This document captures every decision, credential, design choice, and business rule that must be confirmed before a single line of code is written. Answering these questions completely ensures the application is built correctly the first time and is ready for testing without rework. Items marked </w:t>
      </w:r>
      <w:r>
        <w:rPr>
          <w:rStyle w:val="MdStrong"/>
          <w:b/>
          <w:bCs/>
        </w:rPr>
        <w:t xml:space="preserve">[REQUIRED]</w:t>
      </w:r>
      <w:r>
        <w:t xml:space="preserve"> will block the build if unanswered. Items marked </w:t>
      </w:r>
      <w:r>
        <w:rPr>
          <w:rStyle w:val="MdStrong"/>
          <w:b/>
          <w:bCs/>
        </w:rPr>
        <w:t xml:space="preserve">[RECOMMENDED]</w:t>
      </w:r>
      <w:r>
        <w:t xml:space="preserve"> have a suggested default that will be used if no answer is provided.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1 — Product Identity &amp; Brand</w:t>
      </w:r>
    </w:p>
    <w:p>
      <w:pPr>
        <w:pStyle w:val="MdParagraph"/>
      </w:pPr>
      <w:r>
        <w:t xml:space="preserve">These decisions affect the app name, domain, logo, color palette, and every screen a broker will see.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is the final product name? (e.g., "SpaceFit AI," "TourFit," "DealFit," "SpaceIQ")</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is the one-line tagline brokers see on the landing page and login screen?</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1.3</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Do you have a logo file ready? If yes, provide it as a PNG with transparent background. If no, should a logo be designed as part of this build?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1.4</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Primary brand color (hex code). </w:t>
            </w:r>
            <w:r>
              <w:rPr>
                <w:rStyle w:val="MdEm"/>
                <w:i/>
                <w:iCs/>
              </w:rPr>
              <w:t xml:space="preserve">Default: Deep navy #0F1F3D with electric blue accent #2563EB — professional, tech-forward, CRE-appropriate.</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1.5</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Visual style preference: (A) Dark/professional, (B) Clean white/minimal, (C) Bold/modern with color. </w:t>
            </w:r>
            <w:r>
              <w:rPr>
                <w:rStyle w:val="MdEm"/>
                <w:i/>
                <w:iCs/>
              </w:rPr>
              <w:t xml:space="preserve">Default: Option A.</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1.6</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is the confirmed domain name for the app? (e.g., spacefit.ai, tourfit.com) Has it been purchased?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1.7</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company name and legal entity should appear in the app footer, terms of service, and invoices? (e.g., "CREEL Solutions LLC")</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1.8</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app support broker white-labeling (broker's own logo/name on exported reports)? </w:t>
            </w:r>
            <w:r>
              <w:rPr>
                <w:rStyle w:val="MdEm"/>
                <w:i/>
                <w:iCs/>
              </w:rPr>
              <w:t xml:space="preserve">Default: Yes, included in Team and Enterprise plans only.</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2 — Target User &amp; Core Workflow</w:t>
      </w:r>
    </w:p>
    <w:p>
      <w:pPr>
        <w:pStyle w:val="MdParagraph"/>
      </w:pPr>
      <w:r>
        <w:t xml:space="preserve">These decisions define who the app is built for and the exact sequence of steps they take.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Primary user type: (A) Tenant rep broker, (B) Office leasing/landlord rep broker, (C) Both equally. This affects the language, default room types, and budget benchmarks built into the AI.</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Confirm the intended use context: Is this tool used (A) during the property tour on a phone, (B) after the tour on a desktop, or (C) both — phone for capture, desktop for analysis?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2.3</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is the primary geographic market at launch? (e.g., US only, US + Canada, global) This affects currency, unit of measurement (sq ft vs sq m), and budget benchmarks.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2.4</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Default unit of measurement: (A) Square feet, (B) Square meters. </w:t>
            </w:r>
            <w:r>
              <w:rPr>
                <w:rStyle w:val="MdEm"/>
                <w:i/>
                <w:iCs/>
              </w:rPr>
              <w:t xml:space="preserve">Default: Square feet (US market).</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2.5</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Walk through the exact broker workflow you envision, step by step. What does the broker do first, second, third — from opening the app to sending something to a client? (Free-form answer)</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2.6</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app support multiple active projects per broker simultaneously (e.g., 5 different properties being analyzed at once)? </w:t>
            </w:r>
            <w:r>
              <w:rPr>
                <w:rStyle w:val="MdEm"/>
                <w:i/>
                <w:iCs/>
              </w:rPr>
              <w:t xml:space="preserve">Default: Yes, unlimited projects per account.</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3 — Floor Plan Capture (The Core Technology)</w:t>
      </w:r>
    </w:p>
    <w:p>
      <w:pPr>
        <w:pStyle w:val="MdParagraph"/>
      </w:pPr>
      <w:r>
        <w:t xml:space="preserve">These decisions define how the proprietary camera measurement system is built.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Confirm the two-mode capture system: </w:t>
            </w:r>
            <w:r>
              <w:rPr>
                <w:rStyle w:val="MdStrong"/>
                <w:b/>
                <w:bCs/>
              </w:rPr>
              <w:t xml:space="preserve">Mode A</w:t>
            </w:r>
            <w:r>
              <w:t xml:space="preserve"> (video walkthrough with printed calibration marker) and </w:t>
            </w:r>
            <w:r>
              <w:rPr>
                <w:rStyle w:val="MdStrong"/>
                <w:b/>
                <w:bCs/>
              </w:rPr>
              <w:t xml:space="preserve">Mode B</w:t>
            </w:r>
            <w:r>
              <w:t xml:space="preserve"> (upload existing PDF/image floor plan). Should both be available at launch, or Mode B only first?</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For Mode A (video scan): The broker must print a calibration marker (an 8.5"×11" branded sheet) and place it in the space before recording. Is this workflow acceptable, or is a marker-free approach required? </w:t>
            </w:r>
            <w:r>
              <w:rPr>
                <w:rStyle w:val="MdEm"/>
                <w:i/>
                <w:iCs/>
              </w:rPr>
              <w:t xml:space="preserve">(Note: marker-free reduces accuracy by ~10–15%.)</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For Mode A video upload: Maximum video length accepted. </w:t>
            </w:r>
            <w:r>
              <w:rPr>
                <w:rStyle w:val="MdEm"/>
                <w:i/>
                <w:iCs/>
              </w:rPr>
              <w:t xml:space="preserve">Default: 3 minutes (sufficient for spaces up to ~30,000 sq ft).</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3.4</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Target processing time for Mode A (from video upload to floor plan returned): </w:t>
            </w:r>
            <w:r>
              <w:rPr>
                <w:rStyle w:val="MdEm"/>
                <w:i/>
                <w:iCs/>
              </w:rPr>
              <w:t xml:space="preserve">Default: Under 90 seconds.</w:t>
            </w:r>
            <w:r>
              <w:t xml:space="preserve"> Is this acceptable, or is a faster/slower target needed?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3.5</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For Mode B (plan upload): What file types should be accepted? (PDF, JPG, PNG, DWG/CAD files?)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3.6</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After a floor plan is generated or uploaded, should the broker be able to manually edit it (move walls, add/remove rooms, adjust dimensions) before running the AI test-fit? </w:t>
            </w:r>
            <w:r>
              <w:rPr>
                <w:rStyle w:val="MdEm"/>
                <w:i/>
                <w:iCs/>
              </w:rPr>
              <w:t xml:space="preserve">Default: Yes — a simple drag-and-drop editor is included.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3.7</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[REQUIRED]</w:t>
            </w:r>
            <w:r>
              <w:t xml:space="preserve"> What is the minimum and maximum square footage the tool is designed to handle? (e.g., 500 sq ft minimum, 100,000 sq ft maximum) This affects the AI model configuration.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4 — Tenant Program Input (AI Interpretation)</w:t>
      </w:r>
    </w:p>
    <w:p>
      <w:pPr>
        <w:pStyle w:val="MdParagraph"/>
      </w:pPr>
      <w:r>
        <w:t xml:space="preserve">These decisions define how the broker enters the tenant's space requirements.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4.1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How should the broker input the tenant's program? Choose all that apply: (A) Free-text description ("We need 20 private offices, 2 conference rooms…"), (B) Structured form with dropdowns and number fields, (C) Upload a tenant requirements document (PDF/email) and let AI extract the program, (D) All three.</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4.2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are the standard room/space types that should be in the system by default? (e.g., Private office, Open workstation, Conference room, Phone booth, Reception, Break room, Server room, Storage, Restroom) Please confirm this list or add/remove items.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4.3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AI suggest a program based on the tenant's industry and headcount if the broker doesn't have full details? (e.g., "Tech company, 50 employees" → AI recommends a typical program.) </w:t>
            </w:r>
            <w:r>
              <w:rPr>
                <w:rStyle w:val="MdEm"/>
                <w:i/>
                <w:iCs/>
              </w:rPr>
              <w:t xml:space="preserve">Default: Yes.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4.4</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system store tenant programs so a broker can reuse them for future analyses? </w:t>
            </w:r>
            <w:r>
              <w:rPr>
                <w:rStyle w:val="MdEm"/>
                <w:i/>
                <w:iCs/>
              </w:rPr>
              <w:t xml:space="preserve">Default: Yes — saved as "Program Templates."</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5 — AI Test-Fit Generation (The Core AI Engine)</w:t>
      </w:r>
    </w:p>
    <w:p>
      <w:pPr>
        <w:pStyle w:val="MdParagraph"/>
      </w:pPr>
      <w:r>
        <w:t xml:space="preserve">These decisions define what the AI produces and how it presents options.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How many layout options should the AI generate per analysis? (1, 2, or 3 options showing different configurations — e.g., "Collaborative," "Private," "Hybrid")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Should the layouts be displayed as: (A) 2D floor plan drawing (blueprint style), (B) Simple color-coded diagram, (C) Both.</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AI calculate and display a </w:t>
            </w:r>
            <w:r>
              <w:rPr>
                <w:rStyle w:val="MdStrong"/>
                <w:b/>
                <w:bCs/>
              </w:rPr>
              <w:t xml:space="preserve">space efficiency score</w:t>
            </w:r>
            <w:r>
              <w:t xml:space="preserve"> for each layout (usable sq ft vs. total sq ft)? </w:t>
            </w:r>
            <w:r>
              <w:rPr>
                <w:rStyle w:val="MdEm"/>
                <w:i/>
                <w:iCs/>
              </w:rPr>
              <w:t xml:space="preserve">Default: Yes.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5.4</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AI flag if the space cannot accommodate the tenant's program, and suggest the minimum square footage required? </w:t>
            </w:r>
            <w:r>
              <w:rPr>
                <w:rStyle w:val="MdEm"/>
                <w:i/>
                <w:iCs/>
              </w:rPr>
              <w:t xml:space="preserve">Default: Yes — this is a key broker value-add.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5.5</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Should furniture be shown in the layouts? (Desks, chairs, conference tables, etc.) Or just room boundaries and labels?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5.6</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broker be able to lock certain rooms (e.g., "Reception must be near the entrance") before the AI generates layouts? </w:t>
            </w:r>
            <w:r>
              <w:rPr>
                <w:rStyle w:val="MdEm"/>
                <w:i/>
                <w:iCs/>
              </w:rPr>
              <w:t xml:space="preserve">Default: Yes — basic constraints input.</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6 — Budget Estimator</w:t>
      </w:r>
    </w:p>
    <w:p>
      <w:pPr>
        <w:pStyle w:val="MdParagraph"/>
      </w:pPr>
      <w:r>
        <w:t xml:space="preserve">These decisions define the financial analysis output.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6.1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budget outputs should the tool produce? Choose all that apply: (A) Total estimated build-out cost (low/mid/high range), (B) Cost per square foot, (C) Category breakdown (construction, furniture/FF&amp;E, IT/AV, soft costs), (D) Monthly rent cost based on layout, (E) Total occupancy cost (rent + build-out amortized).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6.2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data source should drive the build-out cost estimates? (A) Fixed national averages built into the app, (B) City/market-specific benchmarks, (C) Allow broker to input their own $/sq ft estimate, (D) All three with broker override option.</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6.3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budget be displayed as a range (e.g., $85–$120/sq ft) rather than a single number, to account for market variability? </w:t>
            </w:r>
            <w:r>
              <w:rPr>
                <w:rStyle w:val="MdEm"/>
                <w:i/>
                <w:iCs/>
              </w:rPr>
              <w:t xml:space="preserve">Default: Yes — range is more defensible and professional.</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6.4</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tool include a </w:t>
            </w:r>
            <w:r>
              <w:rPr>
                <w:rStyle w:val="MdStrong"/>
                <w:b/>
                <w:bCs/>
              </w:rPr>
              <w:t xml:space="preserve">Tenant Improvement (TI) allowance calculator</w:t>
            </w:r>
            <w:r>
              <w:t xml:space="preserve"> that shows net cost to tenant after landlord contribution? </w:t>
            </w:r>
            <w:r>
              <w:rPr>
                <w:rStyle w:val="MdEm"/>
                <w:i/>
                <w:iCs/>
              </w:rPr>
              <w:t xml:space="preserve">Default: Yes — critical for tenant rep brokers.</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7 — Output, Export &amp; Client Sharing</w:t>
      </w:r>
    </w:p>
    <w:p>
      <w:pPr>
        <w:pStyle w:val="MdParagraph"/>
      </w:pPr>
      <w:r>
        <w:t xml:space="preserve">These decisions define the deliverable a broker sends to their client.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should the exported client report include? (Floor plan, layout options, space efficiency score, budget estimate, broker contact info, property address, date) Confirm or modify this list.</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Export format: (A) Branded PDF, (B) Shareable web link (client views online without logging in), (C) Both.</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7.3</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Should the exported report carry the broker's name, photo, company logo, and contact details? (White-label broker branding)</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7.4</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broker be able to add written notes or commentary to the report before sending? </w:t>
            </w:r>
            <w:r>
              <w:rPr>
                <w:rStyle w:val="MdEm"/>
                <w:i/>
                <w:iCs/>
              </w:rPr>
              <w:t xml:space="preserve">Default: Yes — a "Broker Notes" text field on each layout.</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7.5</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client be able to view multiple properties side-by-side in a comparison view via the shared link? </w:t>
            </w:r>
            <w:r>
              <w:rPr>
                <w:rStyle w:val="MdEm"/>
                <w:i/>
                <w:iCs/>
              </w:rPr>
              <w:t xml:space="preserve">Default: Yes — "Property Comparison" is a premium feature.</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7.6</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app track when a client opens a shared report (read receipts)? </w:t>
            </w:r>
            <w:r>
              <w:rPr>
                <w:rStyle w:val="MdEm"/>
                <w:i/>
                <w:iCs/>
              </w:rPr>
              <w:t xml:space="preserve">Default: Yes — brokers love knowing when a client has engaged.</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8 — Subscription, Pricing &amp; Billing</w:t>
      </w:r>
    </w:p>
    <w:p>
      <w:pPr>
        <w:pStyle w:val="MdParagraph"/>
      </w:pPr>
      <w:r>
        <w:t xml:space="preserve">These decisions drive the entire monetization architecture.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8.1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Confirm pricing tiers: </w:t>
            </w:r>
            <w:r>
              <w:rPr>
                <w:rStyle w:val="MdStrong"/>
                <w:b/>
                <w:bCs/>
              </w:rPr>
              <w:t xml:space="preserve">Professional $149/mo</w:t>
            </w:r>
            <w:r>
              <w:t xml:space="preserve">, </w:t>
            </w:r>
            <w:r>
              <w:rPr>
                <w:rStyle w:val="MdStrong"/>
                <w:b/>
                <w:bCs/>
              </w:rPr>
              <w:t xml:space="preserve">Team $129/user/mo</w:t>
            </w:r>
            <w:r>
              <w:t xml:space="preserve">, </w:t>
            </w:r>
            <w:r>
              <w:rPr>
                <w:rStyle w:val="MdStrong"/>
                <w:b/>
                <w:bCs/>
              </w:rPr>
              <w:t xml:space="preserve">Enterprise custom</w:t>
            </w:r>
            <w:r>
              <w:t xml:space="preserve">. Or provide revised pricing.</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8.2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Free trial: Yes or No? If yes, how many days, and is a credit card required to start the trial?</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8.3</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Should there be a usage limit on any plan? (e.g., Professional plan = 20 analyses/month, unlimited on Team/Enterprise) Or is it fully unlimited on all paid plans?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8.4</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Annual billing discount: Should brokers be offered a discounted annual rate? </w:t>
            </w:r>
            <w:r>
              <w:rPr>
                <w:rStyle w:val="MdEm"/>
                <w:i/>
                <w:iCs/>
              </w:rPr>
              <w:t xml:space="preserve">Default: 2 months free (equivalent to ~17% discount) for annual prepay.</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8.5</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Should there be a </w:t>
            </w:r>
            <w:r>
              <w:rPr>
                <w:rStyle w:val="MdStrong"/>
                <w:b/>
                <w:bCs/>
              </w:rPr>
              <w:t xml:space="preserve">referral program</w:t>
            </w:r>
            <w:r>
              <w:t xml:space="preserve"> at launch? (e.g., "Refer a broker, get 1 month free")</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8.6</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[REQUIRED]</w:t>
            </w:r>
            <w:r>
              <w:t xml:space="preserve"> Stripe account: Do you have a Stripe account already set up under the CREEL Solutions LLC entity?</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9 — User Accounts &amp; Access Control</w:t>
      </w:r>
    </w:p>
    <w:p>
      <w:pPr>
        <w:pStyle w:val="MdParagraph"/>
      </w:pPr>
      <w:r>
        <w:t xml:space="preserve">These decisions define how brokers sign up, log in, and manage their teams.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9.1</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Sign-up method: (A) Email + password only, (B) Google SSO only, (C) Both. </w:t>
            </w:r>
            <w:r>
              <w:rPr>
                <w:rStyle w:val="MdEm"/>
                <w:i/>
                <w:iCs/>
              </w:rPr>
              <w:t xml:space="preserve">Default: Both — Google SSO dramatically increases sign-up conversion.</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9.2</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For Team accounts: Should a team admin be able to see all projects created by their team members? </w:t>
            </w:r>
            <w:r>
              <w:rPr>
                <w:rStyle w:val="MdEm"/>
                <w:i/>
                <w:iCs/>
              </w:rPr>
              <w:t xml:space="preserve">Default: Yes — admin has full visibility, individual brokers see only their own.</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9.3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brokers be able to share a project with a colleague (e.g., a co-broker) even if the colleague is not on the same subscription? </w:t>
            </w:r>
            <w:r>
              <w:rPr>
                <w:rStyle w:val="MdEm"/>
                <w:i/>
                <w:iCs/>
              </w:rPr>
              <w:t xml:space="preserve">Default: View-only sharing via link, edit access requires a paid seat.</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9.4</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[REQUIRED]</w:t>
            </w:r>
            <w:r>
              <w:t xml:space="preserve"> Should there be a separate </w:t>
            </w:r>
            <w:r>
              <w:rPr>
                <w:rStyle w:val="MdStrong"/>
                <w:b/>
                <w:bCs/>
              </w:rPr>
              <w:t xml:space="preserve">admin dashboard</w:t>
            </w:r>
            <w:r>
              <w:t xml:space="preserve"> for you (the owner) to see all users, subscriptions, usage, and revenue?</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10 — Integrations &amp; Connected Tools</w:t>
      </w:r>
    </w:p>
    <w:p>
      <w:pPr>
        <w:pStyle w:val="MdParagraph"/>
      </w:pPr>
      <w:r>
        <w:t xml:space="preserve">These decisions define what the app connects to.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GoHighLevel (GHL): Should new user sign-ups automatically be pushed into GHL as a contact and trigger an onboarding email sequence? If yes, provide your GHL API key.</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10.2</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app send automated in-app and email notifications? (e.g., "Your floor plan is ready," "Your client viewed the report") </w:t>
            </w:r>
            <w:r>
              <w:rPr>
                <w:rStyle w:val="MdEm"/>
                <w:i/>
                <w:iCs/>
              </w:rPr>
              <w:t xml:space="preserve">Default: Yes — email via Supabase/Resend, in-app notifications.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Google Analytics or similar: Should user behavior be tracked for product improvement? </w:t>
            </w:r>
            <w:r>
              <w:rPr>
                <w:rStyle w:val="MdEm"/>
                <w:i/>
                <w:iCs/>
              </w:rPr>
              <w:t xml:space="preserve">Default: Yes — anonymous usage analytics via built-in Manus analytics.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10.4</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[REQUIRED]</w:t>
            </w:r>
            <w:r>
              <w:t xml:space="preserve"> Should the app integrate with any CRE data platforms at launch? (e.g., CoStar, LoopNet, Buildout) Or is this a future phase?</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11 — API Keys &amp; Credentials Needed at Build Time</w:t>
      </w:r>
    </w:p>
    <w:p>
      <w:pPr>
        <w:pStyle w:val="MdParagraph"/>
      </w:pPr>
      <w:r>
        <w:t xml:space="preserve">These must be provided before the build begins. None of these are stored by Manus — they are injected as secure environment variables.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Credential</w:t>
            </w:r>
          </w:p>
        </w:tc>
        <w:tc>
          <w:tcPr>
            <w:tcMar>
              <w:top w:type="dxa" w:w="100"/>
              <w:left w:type="dxa" w:w="120"/>
              <w:bottom w:type="dxa" w:w="100"/>
              <w:right w:type="dxa" w:w="120"/>
            </w:tcMar>
            <w:vAlign w:val="center"/>
          </w:tcPr>
          <w:p>
            <w:pPr>
              <w:pStyle w:val="MdTableHeader"/>
              <w:jc w:val="left"/>
            </w:pPr>
            <w:r>
              <w:t xml:space="preserve">Purpose</w:t>
            </w:r>
          </w:p>
        </w:tc>
        <w:tc>
          <w:tcPr>
            <w:tcBorders>
              <w:right w:val="none"/>
            </w:tcBorders>
            <w:tcMar>
              <w:top w:type="dxa" w:w="100"/>
              <w:left w:type="dxa" w:w="120"/>
              <w:bottom w:type="dxa" w:w="100"/>
              <w:right w:type="dxa" w:w="120"/>
            </w:tcMar>
            <w:vAlign w:val="center"/>
          </w:tcPr>
          <w:p>
            <w:pPr>
              <w:pStyle w:val="MdTableHeader"/>
              <w:jc w:val="left"/>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OpenAI API Key</w:t>
            </w:r>
          </w:p>
        </w:tc>
        <w:tc>
          <w:tcPr>
            <w:tcMar>
              <w:top w:type="dxa" w:w="80"/>
              <w:left w:type="dxa" w:w="120"/>
              <w:bottom w:type="dxa" w:w="80"/>
              <w:right w:type="dxa" w:w="120"/>
            </w:tcMar>
            <w:vAlign w:val="center"/>
          </w:tcPr>
          <w:p>
            <w:pPr>
              <w:pStyle w:val="MdTableCell"/>
              <w:jc w:val="left"/>
            </w:pPr>
            <w:r>
              <w:t xml:space="preserve">Powers all AI features — program interpretation, layout generation, plan analysis, budget estimation</w:t>
            </w:r>
          </w:p>
        </w:tc>
        <w:tc>
          <w:tcPr>
            <w:tcBorders>
              <w:right w:val="none"/>
            </w:tcBorders>
            <w:tcMar>
              <w:top w:type="dxa" w:w="80"/>
              <w:left w:type="dxa" w:w="120"/>
              <w:bottom w:type="dxa" w:w="80"/>
              <w:right w:type="dxa" w:w="120"/>
            </w:tcMar>
            <w:vAlign w:val="center"/>
          </w:tcPr>
          <w:p>
            <w:pPr>
              <w:pStyle w:val="MdTableCell"/>
              <w:jc w:val="left"/>
            </w:pPr>
            <w:r>
              <w:t xml:space="preserve">Not provided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Stripe Publishable Key + Secret Key</w:t>
            </w:r>
          </w:p>
        </w:tc>
        <w:tc>
          <w:tcPr>
            <w:tcMar>
              <w:top w:type="dxa" w:w="80"/>
              <w:left w:type="dxa" w:w="120"/>
              <w:bottom w:type="dxa" w:w="80"/>
              <w:right w:type="dxa" w:w="120"/>
            </w:tcMar>
            <w:vAlign w:val="center"/>
          </w:tcPr>
          <w:p>
            <w:pPr>
              <w:pStyle w:val="MdTableCell"/>
              <w:jc w:val="left"/>
            </w:pPr>
            <w:r>
              <w:t xml:space="preserve">Subscription billing and payment processing</w:t>
            </w:r>
          </w:p>
        </w:tc>
        <w:tc>
          <w:tcPr>
            <w:tcBorders>
              <w:right w:val="none"/>
            </w:tcBorders>
            <w:tcMar>
              <w:top w:type="dxa" w:w="80"/>
              <w:left w:type="dxa" w:w="120"/>
              <w:bottom w:type="dxa" w:w="80"/>
              <w:right w:type="dxa" w:w="120"/>
            </w:tcMar>
            <w:vAlign w:val="center"/>
          </w:tcPr>
          <w:p>
            <w:pPr>
              <w:pStyle w:val="MdTableCell"/>
              <w:jc w:val="left"/>
            </w:pPr>
            <w:r>
              <w:t xml:space="preserve">Not provided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Google OAuth Client ID + Secret</w:t>
            </w:r>
          </w:p>
        </w:tc>
        <w:tc>
          <w:tcPr>
            <w:tcMar>
              <w:top w:type="dxa" w:w="80"/>
              <w:left w:type="dxa" w:w="120"/>
              <w:bottom w:type="dxa" w:w="80"/>
              <w:right w:type="dxa" w:w="120"/>
            </w:tcMar>
            <w:vAlign w:val="center"/>
          </w:tcPr>
          <w:p>
            <w:pPr>
              <w:pStyle w:val="MdTableCell"/>
              <w:jc w:val="left"/>
            </w:pPr>
            <w:r>
              <w:t xml:space="preserve">Enables "Sign in with Google" on the login page</w:t>
            </w:r>
          </w:p>
        </w:tc>
        <w:tc>
          <w:tcPr>
            <w:tcBorders>
              <w:right w:val="none"/>
            </w:tcBorders>
            <w:tcMar>
              <w:top w:type="dxa" w:w="80"/>
              <w:left w:type="dxa" w:w="120"/>
              <w:bottom w:type="dxa" w:w="80"/>
              <w:right w:type="dxa" w:w="120"/>
            </w:tcMar>
            <w:vAlign w:val="center"/>
          </w:tcPr>
          <w:p>
            <w:pPr>
              <w:pStyle w:val="MdTableCell"/>
              <w:jc w:val="left"/>
            </w:pPr>
            <w:r>
              <w:t xml:space="preserve">Not provided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11.4</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GHL API Key</w:t>
            </w:r>
          </w:p>
        </w:tc>
        <w:tc>
          <w:tcPr>
            <w:tcMar>
              <w:top w:type="dxa" w:w="80"/>
              <w:left w:type="dxa" w:w="120"/>
              <w:bottom w:type="dxa" w:w="80"/>
              <w:right w:type="dxa" w:w="120"/>
            </w:tcMar>
            <w:vAlign w:val="center"/>
          </w:tcPr>
          <w:p>
            <w:pPr>
              <w:pStyle w:val="MdTableCell"/>
              <w:jc w:val="left"/>
            </w:pPr>
            <w:r>
              <w:t xml:space="preserve">Pushes new sign-ups into GoHighLevel for automated onboarding sequences</w:t>
            </w:r>
          </w:p>
        </w:tc>
        <w:tc>
          <w:tcPr>
            <w:tcBorders>
              <w:right w:val="none"/>
            </w:tcBorders>
            <w:tcMar>
              <w:top w:type="dxa" w:w="80"/>
              <w:left w:type="dxa" w:w="120"/>
              <w:bottom w:type="dxa" w:w="80"/>
              <w:right w:type="dxa" w:w="120"/>
            </w:tcMar>
            <w:vAlign w:val="center"/>
          </w:tcPr>
          <w:p>
            <w:pPr>
              <w:pStyle w:val="MdTableCell"/>
              <w:jc w:val="left"/>
            </w:pPr>
            <w:r>
              <w:t xml:space="preserve">Not provided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11.5</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Resend API Key (or SendGrid)</w:t>
            </w:r>
          </w:p>
        </w:tc>
        <w:tc>
          <w:tcPr>
            <w:tcMar>
              <w:top w:type="dxa" w:w="80"/>
              <w:left w:type="dxa" w:w="120"/>
              <w:bottom w:type="dxa" w:w="80"/>
              <w:right w:type="dxa" w:w="120"/>
            </w:tcMar>
            <w:vAlign w:val="center"/>
          </w:tcPr>
          <w:p>
            <w:pPr>
              <w:pStyle w:val="MdTableCell"/>
              <w:jc w:val="left"/>
            </w:pPr>
            <w:r>
              <w:t xml:space="preserve">Transactional emails — welcome, plan ready, report viewed notifications</w:t>
            </w:r>
          </w:p>
        </w:tc>
        <w:tc>
          <w:tcPr>
            <w:tcBorders>
              <w:right w:val="none"/>
            </w:tcBorders>
            <w:tcMar>
              <w:top w:type="dxa" w:w="80"/>
              <w:left w:type="dxa" w:w="120"/>
              <w:bottom w:type="dxa" w:w="80"/>
              <w:right w:type="dxa" w:w="120"/>
            </w:tcMar>
            <w:vAlign w:val="center"/>
          </w:tcPr>
          <w:p>
            <w:pPr>
              <w:pStyle w:val="MdTableCell"/>
              <w:jc w:val="left"/>
            </w:pPr>
            <w:r>
              <w:t xml:space="preserve">Not provided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11.6</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AWS Access Key ID + Secret (S3)</w:t>
            </w:r>
          </w:p>
        </w:tc>
        <w:tc>
          <w:tcPr>
            <w:tcBorders>
              <w:bottom w:val="single" w:color="E1E4E8" w:sz="4"/>
            </w:tcBorders>
            <w:tcMar>
              <w:top w:type="dxa" w:w="80"/>
              <w:left w:type="dxa" w:w="120"/>
              <w:bottom w:type="dxa" w:w="80"/>
              <w:right w:type="dxa" w:w="120"/>
            </w:tcMar>
            <w:vAlign w:val="center"/>
          </w:tcPr>
          <w:p>
            <w:pPr>
              <w:pStyle w:val="MdTableCell"/>
              <w:jc w:val="left"/>
            </w:pPr>
            <w:r>
              <w:t xml:space="preserve">Stores uploaded floor plans, videos, and generated PDFs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Not provided</w:t>
            </w:r>
          </w:p>
        </w:tc>
      </w:tr>
    </w:tbl>
    <w:p>
      <w:pPr>
        <w:pStyle w:val="MdHr"/>
        <w:pBdr>
          <w:bottom w:val="single" w:color="auto" w:sz="6" w:space="1"/>
        </w:pBdr>
      </w:pPr>
    </w:p>
    <w:p>
      <w:pPr>
        <w:pStyle w:val="MdSpace"/>
        <w:spacing w:before="0" w:after="60"/>
      </w:pPr>
    </w:p>
    <w:p>
      <w:pPr>
        <w:pStyle w:val="Heading2"/>
        <w:pStyle w:val="MdHeading2"/>
      </w:pPr>
      <w:r>
        <w:t xml:space="preserve">SECTION 12 — Legal &amp; Compliance</w:t>
      </w:r>
    </w:p>
    <w:p>
      <w:pPr>
        <w:pStyle w:val="MdParagraph"/>
      </w:pPr>
      <w:r>
        <w:t xml:space="preserve">These decisions affect the terms of service, privacy policy, and data handling.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Should the app include a Terms of Service and Privacy Policy at launch? If yes, should these be auto-generated based on the app's data practices, or do you have existing documents to use?</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Floor plan data uploaded by brokers — is this considered confidential client data? Should it be automatically deleted after a set period (e.g., 90 days) or retained indefinitely?</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 app include a disclaimer on all AI-generated budget estimates stating they are approximations and not professional cost estimates? </w:t>
            </w:r>
            <w:r>
              <w:rPr>
                <w:rStyle w:val="MdEm"/>
                <w:i/>
                <w:iCs/>
              </w:rPr>
              <w:t xml:space="preserve">Default: Yes — protects CREEL from liability.</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12.4</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[RECOMMENDED]</w:t>
            </w:r>
            <w:r>
              <w:t xml:space="preserve"> GDPR compliance (for any EU users): Is this a concern at launch, or is the initial market US-only? </w:t>
            </w:r>
            <w:r>
              <w:rPr>
                <w:rStyle w:val="MdEm"/>
                <w:i/>
                <w:iCs/>
              </w:rPr>
              <w:t xml:space="preserve">Default: Include basic GDPR cookie consent banner as a precaution.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SECTION 13 — Testing &amp; Launch Criteria</w:t>
      </w:r>
    </w:p>
    <w:p>
      <w:pPr>
        <w:pStyle w:val="MdParagraph"/>
      </w:pPr>
      <w:r>
        <w:t xml:space="preserve">These decisions define what "ready to test" and "ready to launch" mean.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t>
            </w:r>
          </w:p>
        </w:tc>
        <w:tc>
          <w:tcPr>
            <w:tcMar>
              <w:top w:type="dxa" w:w="100"/>
              <w:left w:type="dxa" w:w="120"/>
              <w:bottom w:type="dxa" w:w="100"/>
              <w:right w:type="dxa" w:w="120"/>
            </w:tcMar>
            <w:vAlign w:val="center"/>
          </w:tcPr>
          <w:p>
            <w:pPr>
              <w:pStyle w:val="MdTableHeader"/>
              <w:jc w:val="left"/>
            </w:pPr>
            <w:r>
              <w:t xml:space="preserve">Question</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Your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13.1</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Who are the beta testers? How many brokers will test before public launch, and how will they be recruited?</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13.2</w:t>
            </w:r>
          </w:p>
        </w:tc>
        <w:tc>
          <w:tcPr>
            <w:tcMar>
              <w:top w:type="dxa" w:w="80"/>
              <w:left w:type="dxa" w:w="120"/>
              <w:bottom w:type="dxa" w:w="80"/>
              <w:right w:type="dxa" w:w="120"/>
            </w:tcMar>
            <w:vAlign w:val="center"/>
          </w:tcPr>
          <w:p>
            <w:pPr>
              <w:pStyle w:val="MdTableCell"/>
              <w:jc w:val="left"/>
            </w:pPr>
            <w:r>
              <w:rPr>
                <w:rStyle w:val="MdStrong"/>
                <w:b/>
                <w:bCs/>
              </w:rPr>
              <w:t xml:space="preserve">[REQUIRED]</w:t>
            </w:r>
            <w:r>
              <w:t xml:space="preserve"> What does a successful test look like? Define the specific actions a tester must complete successfully for the app to be considered ready. (e.g., "Upload a floor plan, enter a program, generate a test-fit, export a PDF")</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13.3</w:t>
            </w:r>
          </w:p>
        </w:tc>
        <w:tc>
          <w:tcPr>
            <w:tcMar>
              <w:top w:type="dxa" w:w="80"/>
              <w:left w:type="dxa" w:w="120"/>
              <w:bottom w:type="dxa" w:w="80"/>
              <w:right w:type="dxa" w:w="120"/>
            </w:tcMar>
            <w:vAlign w:val="center"/>
          </w:tcPr>
          <w:p>
            <w:pPr>
              <w:pStyle w:val="MdTableCell"/>
              <w:jc w:val="left"/>
            </w:pPr>
            <w:r>
              <w:rPr>
                <w:rStyle w:val="MdStrong"/>
                <w:b/>
                <w:bCs/>
              </w:rPr>
              <w:t xml:space="preserve">[RECOMMENDED]</w:t>
            </w:r>
            <w:r>
              <w:t xml:space="preserve"> Should there be an in-app feedback button during beta so testers can report issues directly? </w:t>
            </w:r>
            <w:r>
              <w:rPr>
                <w:rStyle w:val="MdEm"/>
                <w:i/>
                <w:iCs/>
              </w:rPr>
              <w:t xml:space="preserve">Default: Yes.</w:t>
            </w:r>
          </w:p>
        </w:tc>
        <w:tc>
          <w:tcPr>
            <w:tcMar>
              <w:top w:type="dxa" w:w="80"/>
              <w:left w:type="dxa" w:w="120"/>
              <w:bottom w:type="dxa" w:w="80"/>
              <w:right w:type="dxa" w:w="120"/>
            </w:tcMar>
            <w:vAlign w:val="center"/>
          </w:tcPr>
          <w:p>
            <w:pPr>
              <w:pStyle w:val="MdTableCell"/>
              <w:jc w:val="left"/>
            </w:pPr>
            <w:r>
              <w:t xml:space="preserve">Unanswered</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13.4</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[REQUIRED]</w:t>
            </w:r>
            <w:r>
              <w:t xml:space="preserve"> Target launch date or timeline. (e.g., "Ready to test in 4 weeks, public launch in 6 weeks")</w:t>
            </w:r>
          </w:p>
        </w:tc>
        <w:tc>
          <w:tcPr>
            <w:tcBorders>
              <w:bottom w:val="single" w:color="E1E4E8" w:sz="4"/>
            </w:tcBorders>
            <w:tcMar>
              <w:top w:type="dxa" w:w="80"/>
              <w:left w:type="dxa" w:w="120"/>
              <w:bottom w:type="dxa" w:w="80"/>
              <w:right w:type="dxa" w:w="120"/>
            </w:tcMar>
            <w:vAlign w:val="center"/>
          </w:tcPr>
          <w:p>
            <w:pPr>
              <w:pStyle w:val="MdTableCell"/>
              <w:jc w:val="left"/>
            </w:pPr>
            <w:r>
              <w:t xml:space="preserve">Unanswered</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Summary: Required Items That Block the Build</w:t>
      </w:r>
    </w:p>
    <w:p>
      <w:pPr>
        <w:pStyle w:val="MdParagraph"/>
      </w:pPr>
      <w:r>
        <w:t xml:space="preserve">The following </w:t>
      </w:r>
      <w:r>
        <w:rPr>
          <w:rStyle w:val="MdStrong"/>
          <w:b/>
          <w:bCs/>
        </w:rPr>
        <w:t xml:space="preserve">11 items are hard blockers</w:t>
      </w:r>
      <w:r>
        <w:t xml:space="preserve"> — the build cannot proceed correctly without them: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Priority</w:t>
            </w:r>
          </w:p>
        </w:tc>
        <w:tc>
          <w:tcPr>
            <w:tcMar>
              <w:top w:type="dxa" w:w="100"/>
              <w:left w:type="dxa" w:w="120"/>
              <w:bottom w:type="dxa" w:w="100"/>
              <w:right w:type="dxa" w:w="120"/>
            </w:tcMar>
            <w:vAlign w:val="center"/>
          </w:tcPr>
          <w:p>
            <w:pPr>
              <w:pStyle w:val="MdTableHeader"/>
              <w:jc w:val="left"/>
            </w:pPr>
            <w:r>
              <w:t xml:space="preserve">Item</w:t>
            </w:r>
          </w:p>
        </w:tc>
        <w:tc>
          <w:tcPr>
            <w:tcBorders>
              <w:right w:val="none"/>
            </w:tcBorders>
            <w:tcMar>
              <w:top w:type="dxa" w:w="100"/>
              <w:left w:type="dxa" w:w="120"/>
              <w:bottom w:type="dxa" w:w="100"/>
              <w:right w:type="dxa" w:w="120"/>
            </w:tcMar>
            <w:vAlign w:val="center"/>
          </w:tcPr>
          <w:p>
            <w:pPr>
              <w:pStyle w:val="MdTableHeader"/>
              <w:jc w:val="left"/>
            </w:pPr>
            <w:r>
              <w:t xml:space="preserve">Why It Blocks the Build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1</w:t>
            </w:r>
          </w:p>
        </w:tc>
        <w:tc>
          <w:tcPr>
            <w:tcMar>
              <w:top w:type="dxa" w:w="80"/>
              <w:left w:type="dxa" w:w="120"/>
              <w:bottom w:type="dxa" w:w="80"/>
              <w:right w:type="dxa" w:w="120"/>
            </w:tcMar>
            <w:vAlign w:val="center"/>
          </w:tcPr>
          <w:p>
            <w:pPr>
              <w:pStyle w:val="MdTableCell"/>
              <w:jc w:val="left"/>
            </w:pPr>
            <w:r>
              <w:t xml:space="preserve">Product name (1.1)</w:t>
            </w:r>
          </w:p>
        </w:tc>
        <w:tc>
          <w:tcPr>
            <w:tcBorders>
              <w:right w:val="none"/>
            </w:tcBorders>
            <w:tcMar>
              <w:top w:type="dxa" w:w="80"/>
              <w:left w:type="dxa" w:w="120"/>
              <w:bottom w:type="dxa" w:w="80"/>
              <w:right w:type="dxa" w:w="120"/>
            </w:tcMar>
            <w:vAlign w:val="center"/>
          </w:tcPr>
          <w:p>
            <w:pPr>
              <w:pStyle w:val="MdTableCell"/>
              <w:jc w:val="left"/>
            </w:pPr>
            <w:r>
              <w:t xml:space="preserve">Affects every screen, URL, database name, and deployment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2</w:t>
            </w:r>
          </w:p>
        </w:tc>
        <w:tc>
          <w:tcPr>
            <w:tcMar>
              <w:top w:type="dxa" w:w="80"/>
              <w:left w:type="dxa" w:w="120"/>
              <w:bottom w:type="dxa" w:w="80"/>
              <w:right w:type="dxa" w:w="120"/>
            </w:tcMar>
            <w:vAlign w:val="center"/>
          </w:tcPr>
          <w:p>
            <w:pPr>
              <w:pStyle w:val="MdTableCell"/>
              <w:jc w:val="left"/>
            </w:pPr>
            <w:r>
              <w:t xml:space="preserve">Tagline (1.2)</w:t>
            </w:r>
          </w:p>
        </w:tc>
        <w:tc>
          <w:tcPr>
            <w:tcBorders>
              <w:right w:val="none"/>
            </w:tcBorders>
            <w:tcMar>
              <w:top w:type="dxa" w:w="80"/>
              <w:left w:type="dxa" w:w="120"/>
              <w:bottom w:type="dxa" w:w="80"/>
              <w:right w:type="dxa" w:w="120"/>
            </w:tcMar>
            <w:vAlign w:val="center"/>
          </w:tcPr>
          <w:p>
            <w:pPr>
              <w:pStyle w:val="MdTableCell"/>
              <w:jc w:val="left"/>
            </w:pPr>
            <w:r>
              <w:t xml:space="preserve">Required for landing page and onboarding screens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3</w:t>
            </w:r>
          </w:p>
        </w:tc>
        <w:tc>
          <w:tcPr>
            <w:tcMar>
              <w:top w:type="dxa" w:w="80"/>
              <w:left w:type="dxa" w:w="120"/>
              <w:bottom w:type="dxa" w:w="80"/>
              <w:right w:type="dxa" w:w="120"/>
            </w:tcMar>
            <w:vAlign w:val="center"/>
          </w:tcPr>
          <w:p>
            <w:pPr>
              <w:pStyle w:val="MdTableCell"/>
              <w:jc w:val="left"/>
            </w:pPr>
            <w:r>
              <w:t xml:space="preserve">Domain name (1.6)</w:t>
            </w:r>
          </w:p>
        </w:tc>
        <w:tc>
          <w:tcPr>
            <w:tcBorders>
              <w:right w:val="none"/>
            </w:tcBorders>
            <w:tcMar>
              <w:top w:type="dxa" w:w="80"/>
              <w:left w:type="dxa" w:w="120"/>
              <w:bottom w:type="dxa" w:w="80"/>
              <w:right w:type="dxa" w:w="120"/>
            </w:tcMar>
            <w:vAlign w:val="center"/>
          </w:tcPr>
          <w:p>
            <w:pPr>
              <w:pStyle w:val="MdTableCell"/>
              <w:jc w:val="left"/>
            </w:pPr>
            <w:r>
              <w:t xml:space="preserve">Required for deployment and OAuth configuration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4</w:t>
            </w:r>
          </w:p>
        </w:tc>
        <w:tc>
          <w:tcPr>
            <w:tcMar>
              <w:top w:type="dxa" w:w="80"/>
              <w:left w:type="dxa" w:w="120"/>
              <w:bottom w:type="dxa" w:w="80"/>
              <w:right w:type="dxa" w:w="120"/>
            </w:tcMar>
            <w:vAlign w:val="center"/>
          </w:tcPr>
          <w:p>
            <w:pPr>
              <w:pStyle w:val="MdTableCell"/>
              <w:jc w:val="left"/>
            </w:pPr>
            <w:r>
              <w:t xml:space="preserve">Legal entity name (1.7)</w:t>
            </w:r>
          </w:p>
        </w:tc>
        <w:tc>
          <w:tcPr>
            <w:tcBorders>
              <w:right w:val="none"/>
            </w:tcBorders>
            <w:tcMar>
              <w:top w:type="dxa" w:w="80"/>
              <w:left w:type="dxa" w:w="120"/>
              <w:bottom w:type="dxa" w:w="80"/>
              <w:right w:type="dxa" w:w="120"/>
            </w:tcMar>
            <w:vAlign w:val="center"/>
          </w:tcPr>
          <w:p>
            <w:pPr>
              <w:pStyle w:val="MdTableCell"/>
              <w:jc w:val="left"/>
            </w:pPr>
            <w:r>
              <w:t xml:space="preserve">Required for terms, invoices, and Stripe setup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5</w:t>
            </w:r>
          </w:p>
        </w:tc>
        <w:tc>
          <w:tcPr>
            <w:tcMar>
              <w:top w:type="dxa" w:w="80"/>
              <w:left w:type="dxa" w:w="120"/>
              <w:bottom w:type="dxa" w:w="80"/>
              <w:right w:type="dxa" w:w="120"/>
            </w:tcMar>
            <w:vAlign w:val="center"/>
          </w:tcPr>
          <w:p>
            <w:pPr>
              <w:pStyle w:val="MdTableCell"/>
              <w:jc w:val="left"/>
            </w:pPr>
            <w:r>
              <w:t xml:space="preserve">OpenAI API Key (11.1)</w:t>
            </w:r>
          </w:p>
        </w:tc>
        <w:tc>
          <w:tcPr>
            <w:tcBorders>
              <w:right w:val="none"/>
            </w:tcBorders>
            <w:tcMar>
              <w:top w:type="dxa" w:w="80"/>
              <w:left w:type="dxa" w:w="120"/>
              <w:bottom w:type="dxa" w:w="80"/>
              <w:right w:type="dxa" w:w="120"/>
            </w:tcMar>
            <w:vAlign w:val="center"/>
          </w:tcPr>
          <w:p>
            <w:pPr>
              <w:pStyle w:val="MdTableCell"/>
              <w:jc w:val="left"/>
            </w:pPr>
            <w:r>
              <w:t xml:space="preserve">Without this, zero AI features 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6</w:t>
            </w:r>
          </w:p>
        </w:tc>
        <w:tc>
          <w:tcPr>
            <w:tcMar>
              <w:top w:type="dxa" w:w="80"/>
              <w:left w:type="dxa" w:w="120"/>
              <w:bottom w:type="dxa" w:w="80"/>
              <w:right w:type="dxa" w:w="120"/>
            </w:tcMar>
            <w:vAlign w:val="center"/>
          </w:tcPr>
          <w:p>
            <w:pPr>
              <w:pStyle w:val="MdTableCell"/>
              <w:jc w:val="left"/>
            </w:pPr>
            <w:r>
              <w:t xml:space="preserve">Stripe Keys (11.2)</w:t>
            </w:r>
          </w:p>
        </w:tc>
        <w:tc>
          <w:tcPr>
            <w:tcBorders>
              <w:right w:val="none"/>
            </w:tcBorders>
            <w:tcMar>
              <w:top w:type="dxa" w:w="80"/>
              <w:left w:type="dxa" w:w="120"/>
              <w:bottom w:type="dxa" w:w="80"/>
              <w:right w:type="dxa" w:w="120"/>
            </w:tcMar>
            <w:vAlign w:val="center"/>
          </w:tcPr>
          <w:p>
            <w:pPr>
              <w:pStyle w:val="MdTableCell"/>
              <w:jc w:val="left"/>
            </w:pPr>
            <w:r>
              <w:t xml:space="preserve">Without this, no subscription billing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7</w:t>
            </w:r>
          </w:p>
        </w:tc>
        <w:tc>
          <w:tcPr>
            <w:tcMar>
              <w:top w:type="dxa" w:w="80"/>
              <w:left w:type="dxa" w:w="120"/>
              <w:bottom w:type="dxa" w:w="80"/>
              <w:right w:type="dxa" w:w="120"/>
            </w:tcMar>
            <w:vAlign w:val="center"/>
          </w:tcPr>
          <w:p>
            <w:pPr>
              <w:pStyle w:val="MdTableCell"/>
              <w:jc w:val="left"/>
            </w:pPr>
            <w:r>
              <w:t xml:space="preserve">Primary user type (2.1)</w:t>
            </w:r>
          </w:p>
        </w:tc>
        <w:tc>
          <w:tcPr>
            <w:tcBorders>
              <w:right w:val="none"/>
            </w:tcBorders>
            <w:tcMar>
              <w:top w:type="dxa" w:w="80"/>
              <w:left w:type="dxa" w:w="120"/>
              <w:bottom w:type="dxa" w:w="80"/>
              <w:right w:type="dxa" w:w="120"/>
            </w:tcMar>
            <w:vAlign w:val="center"/>
          </w:tcPr>
          <w:p>
            <w:pPr>
              <w:pStyle w:val="MdTableCell"/>
              <w:jc w:val="left"/>
            </w:pPr>
            <w:r>
              <w:t xml:space="preserve">Determines room types, budget benchmarks, and AI prompts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8</w:t>
            </w:r>
          </w:p>
        </w:tc>
        <w:tc>
          <w:tcPr>
            <w:tcMar>
              <w:top w:type="dxa" w:w="80"/>
              <w:left w:type="dxa" w:w="120"/>
              <w:bottom w:type="dxa" w:w="80"/>
              <w:right w:type="dxa" w:w="120"/>
            </w:tcMar>
            <w:vAlign w:val="center"/>
          </w:tcPr>
          <w:p>
            <w:pPr>
              <w:pStyle w:val="MdTableCell"/>
              <w:jc w:val="left"/>
            </w:pPr>
            <w:r>
              <w:t xml:space="preserve">Workflow confirmation (2.5)</w:t>
            </w:r>
          </w:p>
        </w:tc>
        <w:tc>
          <w:tcPr>
            <w:tcBorders>
              <w:right w:val="none"/>
            </w:tcBorders>
            <w:tcMar>
              <w:top w:type="dxa" w:w="80"/>
              <w:left w:type="dxa" w:w="120"/>
              <w:bottom w:type="dxa" w:w="80"/>
              <w:right w:type="dxa" w:w="120"/>
            </w:tcMar>
            <w:vAlign w:val="center"/>
          </w:tcPr>
          <w:p>
            <w:pPr>
              <w:pStyle w:val="MdTableCell"/>
              <w:jc w:val="left"/>
            </w:pPr>
            <w:r>
              <w:t xml:space="preserve">Defines the entire app navigation and screen sequence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9</w:t>
            </w:r>
          </w:p>
        </w:tc>
        <w:tc>
          <w:tcPr>
            <w:tcMar>
              <w:top w:type="dxa" w:w="80"/>
              <w:left w:type="dxa" w:w="120"/>
              <w:bottom w:type="dxa" w:w="80"/>
              <w:right w:type="dxa" w:w="120"/>
            </w:tcMar>
            <w:vAlign w:val="center"/>
          </w:tcPr>
          <w:p>
            <w:pPr>
              <w:pStyle w:val="MdTableCell"/>
              <w:jc w:val="left"/>
            </w:pPr>
            <w:r>
              <w:t xml:space="preserve">Capture mode decision (3.1)</w:t>
            </w:r>
          </w:p>
        </w:tc>
        <w:tc>
          <w:tcPr>
            <w:tcBorders>
              <w:right w:val="none"/>
            </w:tcBorders>
            <w:tcMar>
              <w:top w:type="dxa" w:w="80"/>
              <w:left w:type="dxa" w:w="120"/>
              <w:bottom w:type="dxa" w:w="80"/>
              <w:right w:type="dxa" w:w="120"/>
            </w:tcMar>
            <w:vAlign w:val="center"/>
          </w:tcPr>
          <w:p>
            <w:pPr>
              <w:pStyle w:val="MdTableCell"/>
              <w:jc w:val="left"/>
            </w:pPr>
            <w:r>
              <w:t xml:space="preserve">Determines which scanning engine to build first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 10</w:t>
            </w:r>
          </w:p>
        </w:tc>
        <w:tc>
          <w:tcPr>
            <w:tcMar>
              <w:top w:type="dxa" w:w="80"/>
              <w:left w:type="dxa" w:w="120"/>
              <w:bottom w:type="dxa" w:w="80"/>
              <w:right w:type="dxa" w:w="120"/>
            </w:tcMar>
            <w:vAlign w:val="center"/>
          </w:tcPr>
          <w:p>
            <w:pPr>
              <w:pStyle w:val="MdTableCell"/>
              <w:jc w:val="left"/>
            </w:pPr>
            <w:r>
              <w:t xml:space="preserve">Pricing confirmation (8.1)</w:t>
            </w:r>
          </w:p>
        </w:tc>
        <w:tc>
          <w:tcPr>
            <w:tcBorders>
              <w:right w:val="none"/>
            </w:tcBorders>
            <w:tcMar>
              <w:top w:type="dxa" w:w="80"/>
              <w:left w:type="dxa" w:w="120"/>
              <w:bottom w:type="dxa" w:w="80"/>
              <w:right w:type="dxa" w:w="120"/>
            </w:tcMar>
            <w:vAlign w:val="center"/>
          </w:tcPr>
          <w:p>
            <w:pPr>
              <w:pStyle w:val="MdTableCell"/>
              <w:jc w:val="left"/>
            </w:pPr>
            <w:r>
              <w:t xml:space="preserve">Required to configure Stripe products and subscription tiers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 11</w:t>
            </w:r>
          </w:p>
        </w:tc>
        <w:tc>
          <w:tcPr>
            <w:tcBorders>
              <w:bottom w:val="single" w:color="E1E4E8" w:sz="4"/>
            </w:tcBorders>
            <w:tcMar>
              <w:top w:type="dxa" w:w="80"/>
              <w:left w:type="dxa" w:w="120"/>
              <w:bottom w:type="dxa" w:w="80"/>
              <w:right w:type="dxa" w:w="120"/>
            </w:tcMar>
            <w:vAlign w:val="center"/>
          </w:tcPr>
          <w:p>
            <w:pPr>
              <w:pStyle w:val="MdTableCell"/>
              <w:jc w:val="left"/>
            </w:pPr>
            <w:r>
              <w:t xml:space="preserve">Test-fit output format (5.1, 5.2)</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Determines the visualization engine and rendering approach</w:t>
            </w:r>
          </w:p>
        </w:tc>
      </w:tr>
    </w:tbl>
    <w:p>
      <w:pPr>
        <w:pStyle w:val="MdHr"/>
        <w:pBdr>
          <w:bottom w:val="single" w:color="auto" w:sz="6" w:space="1"/>
        </w:pBdr>
      </w:pPr>
    </w:p>
    <w:p>
      <w:pPr>
        <w:pStyle w:val="MdSpace"/>
        <w:spacing w:before="0" w:after="60"/>
      </w:pPr>
    </w:p>
    <w:p>
      <w:pPr>
        <w:pStyle w:val="MdParagraph"/>
      </w:pPr>
      <w:r>
        <w:rPr>
          <w:rStyle w:val="MdEm"/>
          <w:i/>
          <w:iCs/>
        </w:rPr>
        <w:t xml:space="preserve">Once these questions are answered, a full technical specification and screen-by-screen wireframe description will be produced for final confirmation before the build begins.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2026-03-09T17:11:45.875Z</dcterms:created>
  <dcterms:modified xsi:type="dcterms:W3CDTF">2026-03-09T17:11:45.875Z</dcterms:modified>
</cp:coreProperties>
</file>

<file path=docProps/custom.xml><?xml version="1.0" encoding="utf-8"?>
<Properties xmlns="http://schemas.openxmlformats.org/officeDocument/2006/custom-properties" xmlns:vt="http://schemas.openxmlformats.org/officeDocument/2006/docPropsVTypes"/>
</file>