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Tenant Test-Fit Platform Business Plan</w:t>
      </w:r>
    </w:p>
    <w:p>
      <w:pPr>
        <w:pStyle w:val="Heading1"/>
      </w:pPr>
      <w:r>
        <w:t>1. Executive Summary</w:t>
      </w:r>
    </w:p>
    <w:p>
      <w:r>
        <w:t>This business proposes a SaaS platform that allows commercial real estate brokers and tenants to quickly scan or upload floor plans, input program requirements, and generate AI-assisted test-fit layouts with budget ranges. The goal is to accelerate leasing decisions and eliminate delays caused by outdated floor plans, manual sketches, and waiting for architects.</w:t>
      </w:r>
    </w:p>
    <w:p>
      <w:r>
        <w:t>Core Value:</w:t>
        <w:br/>
        <w:t>Reduce a 1–3 week architectural test-fit process into a 5–10 minute workflow during a building tour.</w:t>
      </w:r>
    </w:p>
    <w:p>
      <w:pPr>
        <w:pStyle w:val="Heading1"/>
      </w:pPr>
      <w:r>
        <w:t>2. Product Overview</w:t>
      </w:r>
    </w:p>
    <w:p>
      <w:r>
        <w:t>Primary Functions:</w:t>
        <w:br/>
        <w:t>• Upload PDF, CAD image, or photograph of a floor plan</w:t>
        <w:br/>
        <w:t>• Optional phone-based space scanning to capture walls and dimensions</w:t>
        <w:br/>
        <w:t>• AI interpretation of program requirements (offices, desks, conference rooms)</w:t>
        <w:br/>
        <w:t>• Generation of 3 layout scenarios: Low, Medium, High construction</w:t>
        <w:br/>
        <w:t>• Budget range estimates based on published market data</w:t>
        <w:br/>
        <w:t>• Export professional PDF test-fit packages</w:t>
        <w:br/>
        <w:t>• Multi-location comparison tables for site selection</w:t>
      </w:r>
    </w:p>
    <w:p>
      <w:pPr>
        <w:pStyle w:val="Heading1"/>
      </w:pPr>
      <w:r>
        <w:t>3. Key Differentiators</w:t>
      </w:r>
    </w:p>
    <w:p>
      <w:r>
        <w:t>• Space scanning capability to correct outdated or missing floor plans</w:t>
        <w:br/>
        <w:t>• Program capture from text, photos, or documents</w:t>
        <w:br/>
        <w:t>• Instant test-fit generation during property tours</w:t>
        <w:br/>
        <w:t>• Budget range benchmarking</w:t>
        <w:br/>
        <w:t>• Multi-site comparison tools</w:t>
        <w:br/>
        <w:t>• Broker-friendly deliverables for leasing discussions</w:t>
      </w:r>
    </w:p>
    <w:p>
      <w:pPr>
        <w:pStyle w:val="Heading1"/>
      </w:pPr>
      <w:r>
        <w:t>4. Target Market</w:t>
      </w:r>
    </w:p>
    <w:p>
      <w:r>
        <w:t>Primary Market:</w:t>
        <w:br/>
        <w:t>Commercial Real Estate Brokers (~70,000 core brokers in the U.S.)</w:t>
      </w:r>
    </w:p>
    <w:p>
      <w:r>
        <w:t>Secondary Markets:</w:t>
        <w:br/>
        <w:t>• Corporate real estate teams</w:t>
        <w:br/>
        <w:t>• Tenant representation advisors</w:t>
        <w:br/>
        <w:t>• Landlords and leasing teams</w:t>
        <w:br/>
        <w:t>• Workplace consultants</w:t>
        <w:br/>
        <w:t>• Project managers</w:t>
      </w:r>
    </w:p>
    <w:p>
      <w:pPr>
        <w:pStyle w:val="Heading1"/>
      </w:pPr>
      <w:r>
        <w:t>5. Market Pain Points</w:t>
      </w:r>
    </w:p>
    <w:p>
      <w:r>
        <w:t>Current Industry Problems:</w:t>
        <w:br/>
        <w:t>• Outdated or missing floor plans</w:t>
        <w:br/>
        <w:t>• Delay waiting for architects to produce test fits</w:t>
        <w:br/>
        <w:t>• Manual sketches during tours</w:t>
        <w:br/>
        <w:t>• Difficulty comparing multiple spaces quickly</w:t>
        <w:br/>
        <w:t>• Lack of early budget guidance</w:t>
      </w:r>
    </w:p>
    <w:p>
      <w:r>
        <w:t>Solution:</w:t>
        <w:br/>
        <w:t>Provide instant spatial analysis and planning tools during the leasing conversation.</w:t>
      </w:r>
    </w:p>
    <w:p>
      <w:pPr>
        <w:pStyle w:val="Heading1"/>
      </w:pPr>
      <w:r>
        <w:t>6. Pricing Model</w:t>
      </w:r>
    </w:p>
    <w:p>
      <w:r>
        <w:t>Recommended SaaS Pricing:</w:t>
      </w:r>
    </w:p>
    <w:p>
      <w:r>
        <w:t>Weekly Trial: $29–$39/week</w:t>
        <w:br/>
        <w:t>Monthly: $99/month</w:t>
        <w:br/>
        <w:t>Annual: $899/year (~$75/month equivalent)</w:t>
      </w:r>
    </w:p>
    <w:p>
      <w:r>
        <w:t>Enterprise plans can range from $1,000–$5,000/month for portfolio users.</w:t>
      </w:r>
    </w:p>
    <w:p>
      <w:pPr>
        <w:pStyle w:val="Heading1"/>
      </w:pPr>
      <w:r>
        <w:t>7. Competitive Landscape</w:t>
      </w:r>
    </w:p>
    <w:p>
      <w:r>
        <w:t>Closest tools include:</w:t>
        <w:br/>
        <w:t>• TestFit – development feasibility</w:t>
        <w:br/>
        <w:t>• Qbiq – AI space planning</w:t>
        <w:br/>
        <w:t>• Matterport – 3D scanning</w:t>
        <w:br/>
        <w:t>• Planner5D – design tools</w:t>
      </w:r>
    </w:p>
    <w:p>
      <w:r>
        <w:t>None combine scanning, program capture, layout generation, and leasing comparison in one workflow.</w:t>
      </w:r>
    </w:p>
    <w:p>
      <w:pPr>
        <w:pStyle w:val="Heading1"/>
      </w:pPr>
      <w:r>
        <w:t>8. Technology Stack</w:t>
      </w:r>
    </w:p>
    <w:p>
      <w:r>
        <w:t>Recommended Stack:</w:t>
      </w:r>
    </w:p>
    <w:p>
      <w:r>
        <w:t>Frontend: Next.js / React</w:t>
        <w:br/>
        <w:t>Backend: Supabase</w:t>
        <w:br/>
        <w:t>AI: OpenAI APIs</w:t>
        <w:br/>
        <w:t>Vision Processing: OpenCV</w:t>
        <w:br/>
        <w:t>Scanning: Apple RoomPlan</w:t>
        <w:br/>
        <w:t>Rendering: Three.js</w:t>
        <w:br/>
        <w:t>Hosting: Vercel</w:t>
        <w:br/>
        <w:t>Storage: AWS S3 / Supabase</w:t>
      </w:r>
    </w:p>
    <w:p>
      <w:r>
        <w:t>This architecture allows rapid development using AI coding agents such as ManusAI.</w:t>
      </w:r>
    </w:p>
    <w:p>
      <w:pPr>
        <w:pStyle w:val="Heading1"/>
      </w:pPr>
      <w:r>
        <w:t>9. Development Strategy (No Team)</w:t>
      </w:r>
    </w:p>
    <w:p>
      <w:r>
        <w:t>Steps:</w:t>
        <w:br/>
        <w:t>1. Use ManusAI to generate full-stack application code</w:t>
        <w:br/>
        <w:t>2. Deploy web application on Vercel</w:t>
        <w:br/>
        <w:t>3. Integrate AI APIs for layout and program interpretation</w:t>
        <w:br/>
        <w:t>4. Implement scanning using existing frameworks</w:t>
        <w:br/>
        <w:t>5. Launch with core features before expanding analytics</w:t>
      </w:r>
    </w:p>
    <w:p>
      <w:pPr>
        <w:pStyle w:val="Heading1"/>
      </w:pPr>
      <w:r>
        <w:t>10. Protection Strategy</w:t>
      </w:r>
    </w:p>
    <w:p>
      <w:r>
        <w:t>• Trademark product and brand name</w:t>
        <w:br/>
        <w:t>• Maintain proprietary layout algorithms</w:t>
        <w:br/>
        <w:t>• Avoid copying competitor code</w:t>
        <w:br/>
        <w:t>• Use licensed APIs and frameworks</w:t>
        <w:br/>
        <w:t>• Focus on execution speed and user adoption</w:t>
      </w:r>
    </w:p>
    <w:p>
      <w:pPr>
        <w:pStyle w:val="Heading1"/>
      </w:pPr>
      <w:r>
        <w:t>11. Scaling Strategy</w:t>
      </w:r>
    </w:p>
    <w:p>
      <w:r>
        <w:t>Growth Path:</w:t>
        <w:br/>
        <w:t>1. Individual broker adoption</w:t>
        <w:br/>
        <w:t>2. Brokerage office adoption</w:t>
        <w:br/>
        <w:t>3. Enterprise landlord accounts</w:t>
        <w:br/>
        <w:t>4. Integration with CRE data platforms</w:t>
      </w:r>
    </w:p>
    <w:p>
      <w:r>
        <w:t>Revenue Targets:</w:t>
        <w:br/>
        <w:t>5,000 users at $99/month = ~$6M ARR</w:t>
        <w:br/>
        <w:t>10,000 users = ~$12M ARR</w:t>
      </w:r>
    </w:p>
    <w:p>
      <w:pPr>
        <w:pStyle w:val="Heading1"/>
      </w:pPr>
      <w:r>
        <w:t>12. Exit Strategy</w:t>
      </w:r>
    </w:p>
    <w:p>
      <w:r>
        <w:t>Potential buyers:</w:t>
      </w:r>
    </w:p>
    <w:p>
      <w:r>
        <w:t>• Major CRE brokerages</w:t>
        <w:br/>
        <w:t>• PropTech platforms</w:t>
        <w:br/>
        <w:t>• Real estate data companies</w:t>
        <w:br/>
        <w:t>• Workplace strategy software firms</w:t>
      </w:r>
    </w:p>
    <w:p>
      <w:r>
        <w:t>Typical PropTech acquisitions range from $50M–$500M depending on adoption and data assets.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