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left"/>
      </w:pPr>
      <w:bookmarkStart w:colFirst="0" w:colLast="0" w:name="_xc2d1vx2g6m3" w:id="0"/>
      <w:bookmarkEnd w:id="0"/>
      <w:r w:rsidDel="00000000" w:rsidR="00000000" w:rsidRPr="00000000">
        <w:rPr>
          <w:rFonts w:ascii="Times New Roman" w:cs="Times New Roman" w:eastAsia="Times New Roman" w:hAnsi="Times New Roman"/>
          <w:sz w:val="24"/>
          <w:szCs w:val="24"/>
          <w:rtl w:val="0"/>
        </w:rPr>
        <w:t xml:space="preserve">Sofia </w:t>
      </w:r>
      <w:r w:rsidDel="00000000" w:rsidR="00000000" w:rsidRPr="00000000">
        <w:rPr>
          <w:rFonts w:ascii="Times New Roman" w:cs="Times New Roman" w:eastAsia="Times New Roman" w:hAnsi="Times New Roman"/>
          <w:sz w:val="24"/>
          <w:szCs w:val="24"/>
          <w:rtl w:val="0"/>
        </w:rPr>
        <w:t xml:space="preserve">Castillo</w:t>
      </w:r>
      <w:r w:rsidDel="00000000" w:rsidR="00000000" w:rsidRPr="00000000">
        <w:rPr>
          <w:rFonts w:ascii="Times New Roman" w:cs="Times New Roman" w:eastAsia="Times New Roman" w:hAnsi="Times New Roman"/>
          <w:b w:val="0"/>
          <w:sz w:val="24"/>
          <w:szCs w:val="24"/>
          <w:rtl w:val="0"/>
        </w:rPr>
        <w:tab/>
        <w:tab/>
      </w:r>
      <w:r w:rsidDel="00000000" w:rsidR="00000000" w:rsidRPr="00000000">
        <w:rPr>
          <w:rtl w:val="0"/>
        </w:rPr>
      </w:r>
    </w:p>
    <w:p w:rsidR="00000000" w:rsidDel="00000000" w:rsidP="00000000" w:rsidRDefault="00000000" w:rsidRPr="00000000">
      <w:pPr>
        <w:spacing w:after="0" w:before="0" w:line="240" w:lineRule="auto"/>
        <w:contextualSpacing w:val="0"/>
        <w:jc w:val="left"/>
      </w:pPr>
      <w:bookmarkStart w:colFirst="0" w:colLast="0" w:name="_rikr3b6u37wa" w:id="1"/>
      <w:bookmarkEnd w:id="1"/>
      <w:r w:rsidDel="00000000" w:rsidR="00000000" w:rsidRPr="00000000">
        <w:rPr>
          <w:rFonts w:ascii="Times New Roman" w:cs="Times New Roman" w:eastAsia="Times New Roman" w:hAnsi="Times New Roman"/>
          <w:sz w:val="24"/>
          <w:szCs w:val="24"/>
          <w:rtl w:val="0"/>
        </w:rPr>
        <w:t xml:space="preserve">Czech Republic</w:t>
      </w:r>
    </w:p>
    <w:p w:rsidR="00000000" w:rsidDel="00000000" w:rsidP="00000000" w:rsidRDefault="00000000" w:rsidRPr="00000000">
      <w:pPr>
        <w:spacing w:after="0" w:before="0" w:line="240" w:lineRule="auto"/>
        <w:contextualSpacing w:val="0"/>
        <w:jc w:val="left"/>
      </w:pPr>
      <w:bookmarkStart w:colFirst="0" w:colLast="0" w:name="_634h33eqk0w3" w:id="2"/>
      <w:bookmarkEnd w:id="2"/>
      <w:r w:rsidDel="00000000" w:rsidR="00000000" w:rsidRPr="00000000">
        <w:rPr>
          <w:rFonts w:ascii="Times New Roman" w:cs="Times New Roman" w:eastAsia="Times New Roman" w:hAnsi="Times New Roman"/>
          <w:sz w:val="24"/>
          <w:szCs w:val="24"/>
          <w:rtl w:val="0"/>
        </w:rPr>
        <w:t xml:space="preserve">American Nicaraguan School</w:t>
      </w:r>
    </w:p>
    <w:p w:rsidR="00000000" w:rsidDel="00000000" w:rsidP="00000000" w:rsidRDefault="00000000" w:rsidRPr="00000000">
      <w:pPr>
        <w:spacing w:after="0" w:before="0" w:line="240" w:lineRule="auto"/>
        <w:contextualSpacing w:val="0"/>
        <w:jc w:val="left"/>
      </w:pPr>
      <w:bookmarkStart w:colFirst="0" w:colLast="0" w:name="_qnxliazdb1t" w:id="3"/>
      <w:bookmarkEnd w:id="3"/>
      <w:r w:rsidDel="00000000" w:rsidR="00000000" w:rsidRPr="00000000">
        <w:rPr>
          <w:rFonts w:ascii="Times New Roman" w:cs="Times New Roman" w:eastAsia="Times New Roman" w:hAnsi="Times New Roman"/>
          <w:sz w:val="24"/>
          <w:szCs w:val="24"/>
          <w:rtl w:val="0"/>
        </w:rPr>
        <w:t xml:space="preserve">Secondary Schools United Nations</w:t>
      </w:r>
    </w:p>
    <w:p w:rsidR="00000000" w:rsidDel="00000000" w:rsidP="00000000" w:rsidRDefault="00000000" w:rsidRPr="00000000">
      <w:pPr>
        <w:spacing w:after="0" w:before="0" w:line="240" w:lineRule="auto"/>
        <w:contextualSpacing w:val="0"/>
        <w:jc w:val="left"/>
      </w:pPr>
      <w:bookmarkStart w:colFirst="0" w:colLast="0" w:name="_hi4p3bx8gjb4" w:id="4"/>
      <w:bookmarkEnd w:id="4"/>
      <w:r w:rsidDel="00000000" w:rsidR="00000000" w:rsidRPr="00000000">
        <w:rPr>
          <w:rFonts w:ascii="Times New Roman" w:cs="Times New Roman" w:eastAsia="Times New Roman" w:hAnsi="Times New Roman"/>
          <w:sz w:val="24"/>
          <w:szCs w:val="24"/>
          <w:rtl w:val="0"/>
        </w:rPr>
        <w:t xml:space="preserve">Symposium</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color w:val="ff0000"/>
          <w:sz w:val="24"/>
          <w:szCs w:val="24"/>
          <w:rtl w:val="0"/>
        </w:rPr>
        <w:t xml:space="preserve"> </w:t>
      </w:r>
    </w:p>
    <w:p w:rsidR="00000000" w:rsidDel="00000000" w:rsidP="00000000" w:rsidRDefault="00000000" w:rsidRPr="00000000">
      <w:pPr>
        <w:spacing w:after="0" w:line="240" w:lineRule="auto"/>
        <w:contextualSpacing w:val="0"/>
        <w:jc w:val="center"/>
      </w:pPr>
      <w:bookmarkStart w:colFirst="0" w:colLast="0" w:name="_7zqdkvr98kwr" w:id="5"/>
      <w:bookmarkEnd w:id="5"/>
      <w:r w:rsidDel="00000000" w:rsidR="00000000" w:rsidRPr="00000000">
        <w:rPr>
          <w:rFonts w:ascii="Times New Roman" w:cs="Times New Roman" w:eastAsia="Times New Roman" w:hAnsi="Times New Roman"/>
          <w:sz w:val="24"/>
          <w:szCs w:val="24"/>
          <w:rtl w:val="0"/>
        </w:rPr>
        <w:t xml:space="preserve">UNESCO</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education system in Czechia is based on the concept of lifelong learning and focuses on the development of human potential. Our purpose is to focus on vocational </w:t>
      </w: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In order to ensure a better education, Czechia has worked for school autonomy, reducing state interference to a minimum. This means that Czechia emphasizes on lifelong learning to avoid bureaucratization on education. (3)</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We work on improving transparency in education and the  promotion of a culture of ethics. Czechia is involved in fighting corruption and has adopted several a</w:t>
      </w:r>
      <w:r w:rsidDel="00000000" w:rsidR="00000000" w:rsidRPr="00000000">
        <w:rPr>
          <w:rFonts w:ascii="Times New Roman" w:cs="Times New Roman" w:eastAsia="Times New Roman" w:hAnsi="Times New Roman"/>
          <w:sz w:val="24"/>
          <w:szCs w:val="24"/>
          <w:rtl w:val="0"/>
        </w:rPr>
        <w:t xml:space="preserve">nti-corruption</w:t>
      </w:r>
      <w:r w:rsidDel="00000000" w:rsidR="00000000" w:rsidRPr="00000000">
        <w:rPr>
          <w:rFonts w:ascii="Times New Roman" w:cs="Times New Roman" w:eastAsia="Times New Roman" w:hAnsi="Times New Roman"/>
          <w:sz w:val="24"/>
          <w:szCs w:val="24"/>
          <w:rtl w:val="0"/>
        </w:rPr>
        <w:t xml:space="preserve"> measures in line with the Council of Europe. We are working in fighting  corruption at government level to ensure that resources for education are used correctly. (4). A possible solution that ensures a better education is </w:t>
      </w:r>
      <w:r w:rsidDel="00000000" w:rsidR="00000000" w:rsidRPr="00000000">
        <w:rPr>
          <w:rFonts w:ascii="Times New Roman" w:cs="Times New Roman" w:eastAsia="Times New Roman" w:hAnsi="Times New Roman"/>
          <w:sz w:val="24"/>
          <w:szCs w:val="24"/>
          <w:rtl w:val="0"/>
        </w:rPr>
        <w:t xml:space="preserve">giving more power to schools to ensure integrity in the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sz w:val="24"/>
          <w:szCs w:val="24"/>
          <w:rtl w:val="0"/>
        </w:rPr>
        <w:t xml:space="preserve">ment of schools’ funds as well as effective use of code of conduct by teachers and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Fonts w:ascii="Times New Roman" w:cs="Times New Roman" w:eastAsia="Times New Roman" w:hAnsi="Times New Roman"/>
          <w:sz w:val="24"/>
          <w:szCs w:val="24"/>
          <w:rtl w:val="0"/>
        </w:rPr>
        <w:t xml:space="preserve">s of schools. (4) </w:t>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There is a huge problem in Czechia and Europe today: education in refugee camps (7). Czechia</w:t>
      </w:r>
      <w:r w:rsidDel="00000000" w:rsidR="00000000" w:rsidRPr="00000000">
        <w:rPr>
          <w:rFonts w:ascii="Times New Roman" w:cs="Times New Roman" w:eastAsia="Times New Roman" w:hAnsi="Times New Roman"/>
          <w:sz w:val="24"/>
          <w:szCs w:val="24"/>
          <w:rtl w:val="0"/>
        </w:rPr>
        <w:t xml:space="preserve">, as well as the EU, is aware of the suffering and human tragedy of refugees who want to start a new and better life beyond the borders of their home countries.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all have witnessed the destruction of cultural heritages, both tangible and intangible, which form part of our cultural identity. Therefore, we should stand to take an active part in stopping the destruction of our cultural heritage during war, conflicts or natural disasters and also to combat illicit trafficking of cultural objects. Czechia is a firm believer in heritage conservation. We consider that we need to cooperate with the public and private sectors to mobilize greater support for heritage protection. </w:t>
      </w: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degree to which </w:t>
      </w:r>
      <w:r w:rsidDel="00000000" w:rsidR="00000000" w:rsidRPr="00000000">
        <w:rPr>
          <w:rFonts w:ascii="Times New Roman" w:cs="Times New Roman" w:eastAsia="Times New Roman" w:hAnsi="Times New Roman"/>
          <w:sz w:val="24"/>
          <w:szCs w:val="24"/>
          <w:rtl w:val="0"/>
        </w:rPr>
        <w:t xml:space="preserve">sites</w:t>
      </w:r>
      <w:r w:rsidDel="00000000" w:rsidR="00000000" w:rsidRPr="00000000">
        <w:rPr>
          <w:rFonts w:ascii="Times New Roman" w:cs="Times New Roman" w:eastAsia="Times New Roman" w:hAnsi="Times New Roman"/>
          <w:sz w:val="24"/>
          <w:szCs w:val="24"/>
          <w:rtl w:val="0"/>
        </w:rPr>
        <w:t xml:space="preserve"> are prepared for disaster determines how vulnerable or resilient they will be. The following elements could be taken into consideration when establishing a flood preparedness strategy: a) Enhancing flood resistance for individual properties –including regular maintenance of roofs, etc b)Developing appropriate local response plans – including flood-response training for occupants and officials, involvement of occupants in identification of flood protection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etc. (11)</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World Heritage sites have been reported to the World Heritage Committee for a number of issues relating to tourism such as impacts on the acceleration of erosion of ground, floor surfaces, walls, pollution, destruction of ecosystem and risks to </w:t>
      </w:r>
      <w:r w:rsidDel="00000000" w:rsidR="00000000" w:rsidRPr="00000000">
        <w:rPr>
          <w:rFonts w:ascii="Times New Roman" w:cs="Times New Roman" w:eastAsia="Times New Roman" w:hAnsi="Times New Roman"/>
          <w:sz w:val="24"/>
          <w:szCs w:val="24"/>
          <w:rtl w:val="0"/>
        </w:rPr>
        <w:t xml:space="preserve">wildlife</w:t>
      </w:r>
      <w:r w:rsidDel="00000000" w:rsidR="00000000" w:rsidRPr="00000000">
        <w:rPr>
          <w:rFonts w:ascii="Times New Roman" w:cs="Times New Roman" w:eastAsia="Times New Roman" w:hAnsi="Times New Roman"/>
          <w:sz w:val="24"/>
          <w:szCs w:val="24"/>
          <w:rtl w:val="0"/>
        </w:rPr>
        <w:t xml:space="preserve">. Therefore, tourism should </w:t>
      </w:r>
      <w:r w:rsidDel="00000000" w:rsidR="00000000" w:rsidRPr="00000000">
        <w:rPr>
          <w:rFonts w:ascii="Times New Roman" w:cs="Times New Roman" w:eastAsia="Times New Roman" w:hAnsi="Times New Roman"/>
          <w:sz w:val="24"/>
          <w:szCs w:val="24"/>
          <w:rtl w:val="0"/>
        </w:rPr>
        <w:t xml:space="preserve">be only done </w:t>
      </w:r>
      <w:r w:rsidDel="00000000" w:rsidR="00000000" w:rsidRPr="00000000">
        <w:rPr>
          <w:rFonts w:ascii="Times New Roman" w:cs="Times New Roman" w:eastAsia="Times New Roman" w:hAnsi="Times New Roman"/>
          <w:sz w:val="24"/>
          <w:szCs w:val="24"/>
          <w:rtl w:val="0"/>
        </w:rPr>
        <w:t xml:space="preserve">if it respects the rights and interests of the community and property owners. Tourism revenues should be used to protect the conservation of sites and to promote equitable distribution of benefits of tourism, through education, training and creation of employment </w:t>
      </w:r>
      <w:r w:rsidDel="00000000" w:rsidR="00000000" w:rsidRPr="00000000">
        <w:rPr>
          <w:rFonts w:ascii="Times New Roman" w:cs="Times New Roman" w:eastAsia="Times New Roman" w:hAnsi="Times New Roman"/>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Dan Ton-That “United Nations Educational, Scientiic and Cultural Organization” Secondary Schools United Nations Symposium 2016.</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hyperlink r:id="rId5">
        <w:r w:rsidDel="00000000" w:rsidR="00000000" w:rsidRPr="00000000">
          <w:rPr>
            <w:rFonts w:ascii="Times New Roman" w:cs="Times New Roman" w:eastAsia="Times New Roman" w:hAnsi="Times New Roman"/>
            <w:b w:val="0"/>
            <w:color w:val="0000ff"/>
            <w:sz w:val="22"/>
            <w:szCs w:val="22"/>
            <w:u w:val="single"/>
            <w:rtl w:val="0"/>
          </w:rPr>
          <w:t xml:space="preserve">http://www.huffingtonpost.com/jiri-pehe/czech-republic-democracy_b_5479764.html</w:t>
        </w:r>
      </w:hyperlink>
      <w:hyperlink r:id="rId6">
        <w:r w:rsidDel="00000000" w:rsidR="00000000" w:rsidRPr="00000000">
          <w:rPr>
            <w:rtl w:val="0"/>
          </w:rPr>
        </w:r>
      </w:hyperlink>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Strategy of Life Long Learning in the Czech Republic. Ministry of Education Youth and Sport, Prague 2007.</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UNESCO International Symposium on Education Policies for 2030: School Leadership, Monitoring and Evaluation and Governance in the implementation of the Education 2030 Framework for Action UNESCO Headquarters in Paris -January 18-20, 2016</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Immigrants and Ethnic Minorities in the Czech Republic Hana Šveráková</w:t>
      </w:r>
    </w:p>
    <w:p w:rsidR="00000000" w:rsidDel="00000000" w:rsidP="00000000" w:rsidRDefault="00000000" w:rsidRPr="00000000">
      <w:pPr>
        <w:spacing w:after="0" w:before="0" w:line="240" w:lineRule="auto"/>
        <w:ind w:left="1080" w:firstLine="0"/>
        <w:contextualSpacing w:val="0"/>
      </w:pPr>
      <w:r w:rsidDel="00000000" w:rsidR="00000000" w:rsidRPr="00000000">
        <w:rPr>
          <w:rFonts w:ascii="Times New Roman" w:cs="Times New Roman" w:eastAsia="Times New Roman" w:hAnsi="Times New Roman"/>
          <w:b w:val="0"/>
          <w:sz w:val="22"/>
          <w:szCs w:val="22"/>
          <w:rtl w:val="0"/>
        </w:rPr>
        <w:t xml:space="preserve">Office of the Government of the Czech Republic Richard Kořínek People in Need – Olomouc branch</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Masaryk University, Faculty of Education Department of English Language and Literature Immigrant children education at Czech Schools. By Pavla Hermanová and Rita Chalmers Collins.</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hyperlink r:id="rId7">
        <w:r w:rsidDel="00000000" w:rsidR="00000000" w:rsidRPr="00000000">
          <w:rPr>
            <w:rFonts w:ascii="Times New Roman" w:cs="Times New Roman" w:eastAsia="Times New Roman" w:hAnsi="Times New Roman"/>
            <w:b w:val="0"/>
            <w:color w:val="0000ff"/>
            <w:sz w:val="22"/>
            <w:szCs w:val="22"/>
            <w:u w:val="single"/>
            <w:rtl w:val="0"/>
          </w:rPr>
          <w:t xml:space="preserve">http://team.org/blog/refugees-in-czech-republic-detained/</w:t>
        </w:r>
      </w:hyperlink>
      <w:hyperlink r:id="rId8">
        <w:r w:rsidDel="00000000" w:rsidR="00000000" w:rsidRPr="00000000">
          <w:rPr>
            <w:rtl w:val="0"/>
          </w:rPr>
        </w:r>
      </w:hyperlink>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https://www.vlada.cz/en/clenove-vlady/premier/speeches/prime-minister-so</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2"/>
          <w:szCs w:val="22"/>
        </w:rPr>
      </w:pPr>
      <w:hyperlink r:id="rId9">
        <w:r w:rsidDel="00000000" w:rsidR="00000000" w:rsidRPr="00000000">
          <w:rPr>
            <w:rFonts w:ascii="Times New Roman" w:cs="Times New Roman" w:eastAsia="Times New Roman" w:hAnsi="Times New Roman"/>
            <w:b w:val="0"/>
            <w:color w:val="0000ff"/>
            <w:sz w:val="22"/>
            <w:szCs w:val="22"/>
            <w:u w:val="single"/>
            <w:rtl w:val="0"/>
          </w:rPr>
          <w:t xml:space="preserve">http://whc.unesco.org/en/news/319/</w:t>
        </w:r>
      </w:hyperlink>
      <w:hyperlink r:id="rId10">
        <w:r w:rsidDel="00000000" w:rsidR="00000000" w:rsidRPr="00000000">
          <w:rPr>
            <w:rtl w:val="0"/>
          </w:rPr>
        </w:r>
      </w:hyperlink>
    </w:p>
    <w:p w:rsidR="00000000" w:rsidDel="00000000" w:rsidP="00000000" w:rsidRDefault="00000000" w:rsidRPr="00000000">
      <w:pPr>
        <w:numPr>
          <w:ilvl w:val="0"/>
          <w:numId w:val="1"/>
        </w:numPr>
        <w:spacing w:after="0" w:before="0" w:line="240" w:lineRule="auto"/>
        <w:ind w:left="1080" w:hanging="360"/>
        <w:contextualSpacing w:val="1"/>
        <w:rPr>
          <w:rFonts w:ascii="Arial" w:cs="Arial" w:eastAsia="Arial" w:hAnsi="Arial"/>
          <w:b w:val="0"/>
          <w:sz w:val="22"/>
          <w:szCs w:val="22"/>
        </w:rPr>
      </w:pPr>
      <w:r w:rsidDel="00000000" w:rsidR="00000000" w:rsidRPr="00000000">
        <w:rPr>
          <w:rFonts w:ascii="Times New Roman" w:cs="Times New Roman" w:eastAsia="Times New Roman" w:hAnsi="Times New Roman"/>
          <w:b w:val="0"/>
          <w:sz w:val="22"/>
          <w:szCs w:val="22"/>
          <w:rtl w:val="0"/>
        </w:rPr>
        <w:t xml:space="preserve"> http://whc.unesco.org/en/convention/</w:t>
      </w:r>
    </w:p>
    <w:p w:rsidR="00000000" w:rsidDel="00000000" w:rsidP="00000000" w:rsidRDefault="00000000" w:rsidRPr="00000000">
      <w:pPr>
        <w:numPr>
          <w:ilvl w:val="0"/>
          <w:numId w:val="1"/>
        </w:numPr>
        <w:spacing w:after="0" w:before="0" w:line="240" w:lineRule="auto"/>
        <w:ind w:left="1080" w:hanging="360"/>
        <w:contextualSpacing w:val="1"/>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2"/>
          <w:szCs w:val="22"/>
          <w:rtl w:val="0"/>
        </w:rPr>
        <w:t xml:space="preserve">World Heritage Challenges for the Millennium, Unesco 2007 (http://whc.unesco.org/documents/publi_millennium_en.pdf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76" w:lineRule="auto"/>
    </w:pPr>
    <w:rPr>
      <w:rFonts w:ascii="Cambria" w:cs="Cambria" w:eastAsia="Cambria" w:hAnsi="Cambria"/>
      <w:b w:val="0"/>
      <w:color w:val="366091"/>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hc.unesco.org/en/news/319/" TargetMode="External"/><Relationship Id="rId9" Type="http://schemas.openxmlformats.org/officeDocument/2006/relationships/hyperlink" Target="http://whc.unesco.org/en/news/319/" TargetMode="External"/><Relationship Id="rId5" Type="http://schemas.openxmlformats.org/officeDocument/2006/relationships/hyperlink" Target="http://www.huffingtonpost.com/jiri-pehe/czech-republic-democracy_b_5479764.html" TargetMode="External"/><Relationship Id="rId6" Type="http://schemas.openxmlformats.org/officeDocument/2006/relationships/hyperlink" Target="http://www.huffingtonpost.com/jiri-pehe/czech-republic-democracy_b_5479764.html" TargetMode="External"/><Relationship Id="rId7" Type="http://schemas.openxmlformats.org/officeDocument/2006/relationships/hyperlink" Target="http://team.org/blog/refugees-in-czech-republic-detained/" TargetMode="External"/><Relationship Id="rId8" Type="http://schemas.openxmlformats.org/officeDocument/2006/relationships/hyperlink" Target="http://team.org/blog/refugees-in-czech-republic-detained/" TargetMode="External"/></Relationships>
</file>