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Dawson Hunt</w:t>
        <w:tab/>
        <w:tab/>
        <w:tab/>
        <w:tab/>
        <w:tab/>
        <w:t xml:space="preserve">UNFCCC Conference of the Parties: 22nd Session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 John’s Kilmarnock</w:t>
        <w:tab/>
        <w:tab/>
        <w:tab/>
        <w:tab/>
        <w:t xml:space="preserve">United Nations Framework on Climate Change</w:t>
      </w:r>
    </w:p>
    <w:p w:rsidR="00000000" w:rsidDel="00000000" w:rsidP="00000000" w:rsidRDefault="00000000" w:rsidRPr="00000000">
      <w:pPr>
        <w:ind w:left="3600" w:firstLine="720"/>
        <w:contextualSpacing w:val="0"/>
      </w:pPr>
      <w:r w:rsidDel="00000000" w:rsidR="00000000" w:rsidRPr="00000000">
        <w:rPr>
          <w:rFonts w:ascii="Times New Roman" w:cs="Times New Roman" w:eastAsia="Times New Roman" w:hAnsi="Times New Roman"/>
          <w:rtl w:val="0"/>
        </w:rPr>
        <w:t xml:space="preserve">Representing Columbia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Background: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Due to the socioeconomic and geopolitical realities of Columbia it has the potential to be both a acutely affected by climate change as well as able to spearhead mitigation and adaptation efforts from around the globe. Large parts of coastal and island bound Columbia will be directly affected by climate change, at its current rate. The Caribbean Island states of Columbia are economically based on tourism of their temperate waterfront locations. Many of these business centres are build over flooded land which due to rising sea levels will make the challenge of rapidly disintegrating foundations more pronounced within the following decades. Due to the rise of sea levels and average temperature over time, Columbia faces a unique combination of, economic, environmental, moral and political dilemmas within the next decade and onwards.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Environmental instability in the region has already started to cause rising sea levels, Amazonian droughts and worsened food insecurity. In order to mitigate the effects of these issues Columbia’s ambition is to be able to adapt as well as work within the global community to slow the effects of climate change in a way that will lessen its impacts around the world. The nations of Gambia, Brazil and Thailand are similarly affected by this issue due to their comparable geographic locations, as coastal, hot and equator adjacent countries.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Since the industrial revolution the amount of carbon dioxide in earth’s atmosphere has increased by 30% due primarily to manmade greenhouse gasses as well as activities in deforestation and the dying off of necessary sea coral as examples of carbon sinks.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Past UN actions: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Paris Agreement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Rio Environmental forum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National Policy: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national policy position of Columbia on the issue of climate change is to not only work to mitigate its potential effects but also to adapt the country’s economy, environment and infrastructure to deal with consequences that are now imminent.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Proposed Solutions: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Innovative and economic solutions for adaptation to climate change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Financial disaster protection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Organized national emission reduction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Reduction and prevention of deforestation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u w:val="single"/>
          <w:rtl w:val="0"/>
        </w:rPr>
        <w:t xml:space="preserve">Bibliography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http://www.earth.columbia.edu/articles/view/1784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https://en.wikipedia.org/wiki/Paris_Agreement</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sz w:val="20"/>
            <w:szCs w:val="20"/>
            <w:u w:val="single"/>
            <w:rtl w:val="0"/>
          </w:rPr>
          <w:t xml:space="preserve">https://unfccc.int/files/adaptation/application/pdf/colombia___mariana_rojas_laserna_session_3.pdf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http://unfccc.int/cop8/se/se_pres/presnc01col.pdf</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nfccc.int/files/adaptation/application/pdf/colombia___mariana_rojas_laserna_session_3.pdf" TargetMode="External"/></Relationships>
</file>