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688" w:rsidRDefault="00572964" w:rsidP="00EB34C4">
      <w:pPr>
        <w:spacing w:after="0"/>
        <w:jc w:val="both"/>
        <w:rPr>
          <w:b/>
          <w:i/>
        </w:rPr>
      </w:pPr>
      <w:r>
        <w:rPr>
          <w:b/>
          <w:i/>
        </w:rPr>
        <w:t xml:space="preserve">Sir Andrew Moray </w:t>
      </w:r>
      <w:r w:rsidR="00573688">
        <w:rPr>
          <w:b/>
          <w:i/>
        </w:rPr>
        <w:t xml:space="preserve">                                                                                                     Represented by</w:t>
      </w:r>
    </w:p>
    <w:p w:rsidR="00573688" w:rsidRPr="00573688" w:rsidRDefault="00572964" w:rsidP="00EB34C4">
      <w:pPr>
        <w:spacing w:after="0"/>
        <w:jc w:val="both"/>
        <w:rPr>
          <w:b/>
          <w:i/>
        </w:rPr>
      </w:pPr>
      <w:r>
        <w:rPr>
          <w:b/>
          <w:i/>
        </w:rPr>
        <w:t xml:space="preserve">(Uncle of </w:t>
      </w:r>
      <w:proofErr w:type="gramStart"/>
      <w:r w:rsidR="00D372C7">
        <w:rPr>
          <w:b/>
          <w:i/>
        </w:rPr>
        <w:t xml:space="preserve">Randolph)  </w:t>
      </w:r>
      <w:r>
        <w:rPr>
          <w:b/>
          <w:i/>
        </w:rPr>
        <w:t xml:space="preserve"> </w:t>
      </w:r>
      <w:proofErr w:type="gramEnd"/>
      <w:r w:rsidR="00D372C7">
        <w:rPr>
          <w:b/>
          <w:i/>
        </w:rPr>
        <w:t xml:space="preserve">   </w:t>
      </w:r>
      <w:r>
        <w:rPr>
          <w:b/>
          <w:i/>
        </w:rPr>
        <w:t xml:space="preserve">                                                                                   John Abbott College</w:t>
      </w:r>
    </w:p>
    <w:p w:rsidR="00573688" w:rsidRPr="00A66282" w:rsidRDefault="00572964" w:rsidP="00EB34C4">
      <w:pPr>
        <w:spacing w:after="0"/>
        <w:jc w:val="center"/>
        <w:rPr>
          <w:b/>
          <w:i/>
        </w:rPr>
      </w:pPr>
      <w:r w:rsidRPr="00A66282">
        <w:rPr>
          <w:b/>
          <w:i/>
        </w:rPr>
        <w:t>Scottish War of Independence: Scotland</w:t>
      </w:r>
    </w:p>
    <w:p w:rsidR="005107DE" w:rsidRDefault="000E7E5C" w:rsidP="00EB34C4">
      <w:pPr>
        <w:spacing w:after="0"/>
        <w:jc w:val="both"/>
      </w:pPr>
      <w:r>
        <w:tab/>
        <w:t>I was born in the second half of the 13</w:t>
      </w:r>
      <w:r w:rsidRPr="000E7E5C">
        <w:rPr>
          <w:vertAlign w:val="superscript"/>
        </w:rPr>
        <w:t>th</w:t>
      </w:r>
      <w:r>
        <w:t xml:space="preserve"> century, son of Sir Andrew </w:t>
      </w:r>
      <w:r w:rsidR="00363A78">
        <w:t>Moray</w:t>
      </w:r>
      <w:r>
        <w:t xml:space="preserve"> of Petty and of the daughter of </w:t>
      </w:r>
      <w:proofErr w:type="spellStart"/>
      <w:r>
        <w:t>Comyn</w:t>
      </w:r>
      <w:proofErr w:type="spellEnd"/>
      <w:r>
        <w:t xml:space="preserve"> of Badenoch</w:t>
      </w:r>
      <w:r w:rsidR="00332458">
        <w:rPr>
          <w:rStyle w:val="FootnoteReference"/>
        </w:rPr>
        <w:footnoteReference w:id="1"/>
      </w:r>
      <w:r>
        <w:t xml:space="preserve">. </w:t>
      </w:r>
      <w:r w:rsidR="00D24289">
        <w:t>I have</w:t>
      </w:r>
      <w:r w:rsidR="00E72E16">
        <w:t xml:space="preserve"> the fortune of being </w:t>
      </w:r>
      <w:r w:rsidR="00D24289">
        <w:t xml:space="preserve">from </w:t>
      </w:r>
      <w:r w:rsidR="00E72E16">
        <w:t xml:space="preserve">a prosperous baronial family </w:t>
      </w:r>
      <w:r w:rsidR="00D24289">
        <w:t>disposing</w:t>
      </w:r>
      <w:r w:rsidR="00E72E16">
        <w:t xml:space="preserve"> of an ample political influence. </w:t>
      </w:r>
      <w:r w:rsidR="006711BB">
        <w:t>T</w:t>
      </w:r>
      <w:bookmarkStart w:id="0" w:name="_GoBack"/>
      <w:bookmarkEnd w:id="0"/>
      <w:r w:rsidR="006711BB">
        <w:t xml:space="preserve">he </w:t>
      </w:r>
      <w:r w:rsidR="00EC656F">
        <w:t xml:space="preserve">bountiful lands in the </w:t>
      </w:r>
      <w:r w:rsidR="006711BB">
        <w:t xml:space="preserve">province of Moray in the northeastern of Scotland </w:t>
      </w:r>
      <w:r w:rsidR="00D24289">
        <w:t>belong</w:t>
      </w:r>
      <w:r w:rsidR="00E12458">
        <w:t xml:space="preserve"> </w:t>
      </w:r>
      <w:r w:rsidR="00E12458" w:rsidRPr="00A021E6">
        <w:t>to</w:t>
      </w:r>
      <w:r w:rsidR="008A6B24" w:rsidRPr="00A021E6">
        <w:t xml:space="preserve"> </w:t>
      </w:r>
      <w:r w:rsidR="00D24289" w:rsidRPr="00A021E6">
        <w:t>me</w:t>
      </w:r>
      <w:r w:rsidR="003711A6">
        <w:t xml:space="preserve"> and with </w:t>
      </w:r>
      <w:r w:rsidR="00D24289">
        <w:t>them</w:t>
      </w:r>
      <w:r w:rsidR="003711A6">
        <w:t xml:space="preserve"> </w:t>
      </w:r>
      <w:r w:rsidR="00EC656F">
        <w:t xml:space="preserve">the lordship of </w:t>
      </w:r>
      <w:r w:rsidR="00A021E6">
        <w:t>P</w:t>
      </w:r>
      <w:r w:rsidR="00EC656F">
        <w:t xml:space="preserve">etty, the lordship of </w:t>
      </w:r>
      <w:proofErr w:type="spellStart"/>
      <w:r w:rsidR="00EC656F">
        <w:t>Avoch</w:t>
      </w:r>
      <w:proofErr w:type="spellEnd"/>
      <w:r w:rsidR="00EC656F">
        <w:t xml:space="preserve"> and the lordship of </w:t>
      </w:r>
      <w:proofErr w:type="spellStart"/>
      <w:r w:rsidR="00CD1822">
        <w:t>Boharm</w:t>
      </w:r>
      <w:proofErr w:type="spellEnd"/>
      <w:r w:rsidR="00AF652D">
        <w:rPr>
          <w:rStyle w:val="FootnoteReference"/>
        </w:rPr>
        <w:footnoteReference w:id="2"/>
      </w:r>
      <w:r w:rsidR="00CD1822">
        <w:t xml:space="preserve">. </w:t>
      </w:r>
      <w:r w:rsidR="00C16159">
        <w:t xml:space="preserve">A few years ago, I wed Euphemia </w:t>
      </w:r>
      <w:proofErr w:type="spellStart"/>
      <w:r w:rsidR="00C16159">
        <w:t>Comyn</w:t>
      </w:r>
      <w:proofErr w:type="spellEnd"/>
      <w:r w:rsidR="00AF652D">
        <w:t xml:space="preserve">, the sister of John </w:t>
      </w:r>
      <w:proofErr w:type="spellStart"/>
      <w:r w:rsidR="00AF652D">
        <w:t>Comyn</w:t>
      </w:r>
      <w:proofErr w:type="spellEnd"/>
      <w:r w:rsidR="00AF652D">
        <w:t>, Lord of Badenoch</w:t>
      </w:r>
      <w:r w:rsidR="00AF652D">
        <w:rPr>
          <w:rStyle w:val="FootnoteReference"/>
        </w:rPr>
        <w:footnoteReference w:id="3"/>
      </w:r>
      <w:r w:rsidR="00AF652D">
        <w:t xml:space="preserve">. </w:t>
      </w:r>
      <w:r w:rsidR="009058A5">
        <w:t xml:space="preserve">I have been raised to take responsibility for an estate, to attend </w:t>
      </w:r>
      <w:r w:rsidR="008C0DF8">
        <w:t xml:space="preserve">to the welfare of the land and the people under my supervision, and to prize that welfare over my own. </w:t>
      </w:r>
    </w:p>
    <w:p w:rsidR="003A0B6D" w:rsidRDefault="00C16159" w:rsidP="00EB34C4">
      <w:pPr>
        <w:spacing w:after="0"/>
        <w:jc w:val="both"/>
      </w:pPr>
      <w:r>
        <w:tab/>
      </w:r>
      <w:r w:rsidR="0033373A">
        <w:t xml:space="preserve">The imbroglio at hand, </w:t>
      </w:r>
      <w:r w:rsidR="008532BC">
        <w:t xml:space="preserve">caused by </w:t>
      </w:r>
      <w:r w:rsidR="0033373A">
        <w:t>the death of King Alexander the 3</w:t>
      </w:r>
      <w:r w:rsidR="0033373A" w:rsidRPr="0033373A">
        <w:rPr>
          <w:vertAlign w:val="superscript"/>
        </w:rPr>
        <w:t>rd</w:t>
      </w:r>
      <w:r w:rsidR="0033373A">
        <w:t xml:space="preserve"> of Scotland and </w:t>
      </w:r>
      <w:r w:rsidR="008532BC">
        <w:t xml:space="preserve">of Margaret, Maid of Norway, leaves Scotland without a king; we are now a ship without </w:t>
      </w:r>
      <w:r w:rsidR="008A6B24">
        <w:rPr>
          <w:color w:val="C00000"/>
        </w:rPr>
        <w:t xml:space="preserve">a </w:t>
      </w:r>
      <w:r w:rsidR="008532BC">
        <w:t xml:space="preserve">captain. </w:t>
      </w:r>
      <w:r w:rsidR="004160FA">
        <w:t>As such, it is primordial to tackle the situation so as not to become effete. I am looki</w:t>
      </w:r>
      <w:r w:rsidR="00564582">
        <w:t>ng forward to a leader having in his</w:t>
      </w:r>
      <w:r w:rsidR="008A6B24">
        <w:t xml:space="preserve"> heart Scotland</w:t>
      </w:r>
      <w:r w:rsidR="00564582">
        <w:t xml:space="preserve"> and in his mind its progression</w:t>
      </w:r>
      <w:r w:rsidR="004160FA">
        <w:t xml:space="preserve">. </w:t>
      </w:r>
      <w:r w:rsidR="001D2FBC">
        <w:t xml:space="preserve">However, more than Scotland itself, the Scottish people must be taken into account. Indeed, a Lord is nothing without its tenants, a country is nothing without its </w:t>
      </w:r>
      <w:r w:rsidR="00564582">
        <w:t>people. Therefore, it is primordial to take into account</w:t>
      </w:r>
      <w:r w:rsidR="003A0B6D">
        <w:t xml:space="preserve"> that our people subsist</w:t>
      </w:r>
      <w:r w:rsidR="00C21130">
        <w:t xml:space="preserve"> from the land. Consequently</w:t>
      </w:r>
      <w:r w:rsidR="003A0B6D">
        <w:t>, our land would benefit more</w:t>
      </w:r>
      <w:r w:rsidR="00CF7F04">
        <w:t xml:space="preserve"> </w:t>
      </w:r>
      <w:r w:rsidR="008A6B24" w:rsidRPr="00CF7F04">
        <w:t>from</w:t>
      </w:r>
      <w:r w:rsidR="003A0B6D" w:rsidRPr="00CF7F04">
        <w:t xml:space="preserve"> </w:t>
      </w:r>
      <w:r w:rsidR="003A0B6D">
        <w:t xml:space="preserve">water and sunshine than from blood. The successor to be appointed must be an astute and reasoned one. </w:t>
      </w:r>
      <w:r w:rsidR="00744199">
        <w:t xml:space="preserve">I believe experience as a leader and knowledge in the human </w:t>
      </w:r>
      <w:r w:rsidR="000056E2">
        <w:t xml:space="preserve">soul are prime qualities for a Chief </w:t>
      </w:r>
      <w:proofErr w:type="spellStart"/>
      <w:r w:rsidR="000056E2">
        <w:t>Justiciar</w:t>
      </w:r>
      <w:proofErr w:type="spellEnd"/>
      <w:r w:rsidR="000056E2">
        <w:t>.</w:t>
      </w:r>
      <w:r w:rsidR="00CC3480">
        <w:t xml:space="preserve"> </w:t>
      </w:r>
      <w:r w:rsidR="006743F2">
        <w:t>Nevertheless</w:t>
      </w:r>
      <w:r w:rsidR="00CC3480">
        <w:t>, I do admire the new generation’s vitality and vigo</w:t>
      </w:r>
      <w:r w:rsidR="00A021E6">
        <w:t>ur</w:t>
      </w:r>
      <w:r w:rsidR="00CC3480">
        <w:t>; maybe new ways of doing will allow us to shape our path as a nation.</w:t>
      </w:r>
      <w:r w:rsidR="000056E2">
        <w:t xml:space="preserve"> While military abilities are always necessary, what our </w:t>
      </w:r>
      <w:r w:rsidR="000056E2">
        <w:lastRenderedPageBreak/>
        <w:t xml:space="preserve">country most </w:t>
      </w:r>
      <w:r w:rsidR="000056E2" w:rsidRPr="00A021E6">
        <w:t>need</w:t>
      </w:r>
      <w:r w:rsidR="008A6B24" w:rsidRPr="00A021E6">
        <w:t>s</w:t>
      </w:r>
      <w:r w:rsidR="000056E2">
        <w:t xml:space="preserve"> right now is diplomacy. </w:t>
      </w:r>
      <w:r w:rsidR="00315CC5">
        <w:t xml:space="preserve">As such, we must lead by example and elect a successor by a majoritarian vote. Furthermore, I am of the opinion that a candidate must be </w:t>
      </w:r>
      <w:r w:rsidR="00BB66F3">
        <w:t>nominated</w:t>
      </w:r>
      <w:r w:rsidR="00315CC5">
        <w:t xml:space="preserve"> by someone </w:t>
      </w:r>
      <w:r w:rsidR="00BB66F3">
        <w:t xml:space="preserve">else, rather than by himself, so that the very people we praise and hold in high esteem become the ones we follow. </w:t>
      </w:r>
    </w:p>
    <w:p w:rsidR="000056E2" w:rsidRDefault="000056E2" w:rsidP="00EB34C4">
      <w:pPr>
        <w:spacing w:after="0"/>
        <w:jc w:val="both"/>
      </w:pPr>
      <w:r>
        <w:tab/>
      </w:r>
      <w:r w:rsidR="00C21130">
        <w:t>A</w:t>
      </w:r>
      <w:r>
        <w:t xml:space="preserve"> deft management of the</w:t>
      </w:r>
      <w:r w:rsidR="00056572">
        <w:t xml:space="preserve"> current </w:t>
      </w:r>
      <w:r>
        <w:t xml:space="preserve">crisis could either </w:t>
      </w:r>
      <w:r w:rsidR="00315CC5">
        <w:t xml:space="preserve">create dissent between our </w:t>
      </w:r>
      <w:r w:rsidR="00C21130">
        <w:t>n</w:t>
      </w:r>
      <w:r w:rsidR="00315CC5">
        <w:t>ation and the English one or strengthen our relation as allies.</w:t>
      </w:r>
      <w:r w:rsidR="00E716B1">
        <w:t xml:space="preserve"> Indeed, Scotland and England must be </w:t>
      </w:r>
      <w:r w:rsidR="00363A78">
        <w:t>supporters</w:t>
      </w:r>
      <w:r w:rsidR="00E716B1">
        <w:t xml:space="preserve"> of one another, but not servant of one another. </w:t>
      </w:r>
      <w:r w:rsidR="009808F3">
        <w:t>That path of action correlates to an acrobat walking on a wire</w:t>
      </w:r>
      <w:r w:rsidR="004F1126">
        <w:t xml:space="preserve">: our respect for England must not be confounded for servitude, our independence </w:t>
      </w:r>
      <w:r w:rsidR="008B0ABD">
        <w:t xml:space="preserve">must not be belligerent. </w:t>
      </w:r>
      <w:r w:rsidR="000C5B71">
        <w:t>A</w:t>
      </w:r>
      <w:r w:rsidR="008B0ABD">
        <w:t xml:space="preserve"> marriage </w:t>
      </w:r>
      <w:r w:rsidR="000C5B71">
        <w:t>between Scotland and England</w:t>
      </w:r>
      <w:r w:rsidR="008B0ABD">
        <w:t xml:space="preserve"> </w:t>
      </w:r>
      <w:r w:rsidR="000C5B71">
        <w:t xml:space="preserve">has proven itself successful for our departed King Alexander III, this line of action could prove itself fruitful again. Furthermore, </w:t>
      </w:r>
      <w:r w:rsidR="008B0ABD">
        <w:t xml:space="preserve">a pact of non-aggression </w:t>
      </w:r>
      <w:r w:rsidR="000C5B71">
        <w:t>accompanied of</w:t>
      </w:r>
      <w:r w:rsidR="008B0ABD">
        <w:t xml:space="preserve"> one of mutual defen</w:t>
      </w:r>
      <w:r w:rsidR="00363A78">
        <w:t>c</w:t>
      </w:r>
      <w:r w:rsidR="008B0ABD">
        <w:t xml:space="preserve">e could open the door for </w:t>
      </w:r>
      <w:r w:rsidR="00EB47AF">
        <w:t>an entente that includes long-lasting peace.</w:t>
      </w:r>
      <w:r w:rsidR="00F046D2">
        <w:t xml:space="preserve"> Scotland has much to win from a partnership with England that </w:t>
      </w:r>
      <w:r w:rsidR="00EB34C4">
        <w:t xml:space="preserve">would establish </w:t>
      </w:r>
      <w:r w:rsidR="00F046D2">
        <w:t>the two nations as</w:t>
      </w:r>
      <w:r w:rsidR="00EB34C4">
        <w:t xml:space="preserve"> independent parts of a joined unit. </w:t>
      </w:r>
      <w:r w:rsidR="008F7E70">
        <w:t xml:space="preserve">Once our political instability is dealt with, Scotland could start expanding its international relationships, notably with </w:t>
      </w:r>
      <w:r w:rsidR="00297E42">
        <w:t xml:space="preserve">Ireland, </w:t>
      </w:r>
      <w:r w:rsidR="008F7E70">
        <w:t xml:space="preserve">France </w:t>
      </w:r>
      <w:r w:rsidR="007850B6">
        <w:t>as well as Norway and Denmark</w:t>
      </w:r>
      <w:r w:rsidR="00E22515">
        <w:t xml:space="preserve">. </w:t>
      </w:r>
    </w:p>
    <w:p w:rsidR="00D24289" w:rsidRDefault="00E85EA7" w:rsidP="00CF7F04">
      <w:pPr>
        <w:spacing w:after="0"/>
        <w:ind w:firstLine="567"/>
        <w:jc w:val="both"/>
      </w:pPr>
      <w:r>
        <w:tab/>
      </w:r>
      <w:r w:rsidR="007850B6">
        <w:t xml:space="preserve">Regarding the royal advice King </w:t>
      </w:r>
      <w:proofErr w:type="gramStart"/>
      <w:r w:rsidR="007850B6">
        <w:t>Edward</w:t>
      </w:r>
      <w:proofErr w:type="gramEnd"/>
      <w:r w:rsidR="007850B6">
        <w:t xml:space="preserve"> I offer</w:t>
      </w:r>
      <w:r w:rsidR="00363A78">
        <w:t>s,</w:t>
      </w:r>
      <w:r w:rsidR="007850B6">
        <w:t xml:space="preserve"> </w:t>
      </w:r>
      <w:r>
        <w:t xml:space="preserve">I believe it is best not to make idle promises </w:t>
      </w:r>
      <w:r w:rsidR="00776B73">
        <w:t>that cannot be fulfilled. Indeed, while I regard with reverence King Edward the 1</w:t>
      </w:r>
      <w:r w:rsidR="00776B73" w:rsidRPr="00776B73">
        <w:rPr>
          <w:vertAlign w:val="superscript"/>
        </w:rPr>
        <w:t>st</w:t>
      </w:r>
      <w:r w:rsidR="00776B73">
        <w:t xml:space="preserve"> of England, I also believe that it is best </w:t>
      </w:r>
      <w:r w:rsidR="00825FFE">
        <w:t xml:space="preserve">not seek his advice in the matter of the claims to the crown. </w:t>
      </w:r>
      <w:r w:rsidR="0033373A">
        <w:t xml:space="preserve">To acknowledge him as Overlord of Scotland would be to withhold from our children, from our relatives, from our neighbours the freeness that statehood confers. </w:t>
      </w:r>
      <w:r w:rsidR="00825FFE">
        <w:t>Indeed, the clause he confla</w:t>
      </w:r>
      <w:r w:rsidR="000E4F6D">
        <w:t xml:space="preserve">ted with his help in the matter, although speaking highly of his interest in the Scottish nation, could also thwart the </w:t>
      </w:r>
      <w:r w:rsidR="00CD4B6D">
        <w:t xml:space="preserve">power and authority of Scotland to preside over its own destiny. I believe in God’s providence and in the valour and hearts of my fellow Scottish kinsmen. </w:t>
      </w:r>
      <w:r w:rsidR="000E4F6D">
        <w:t xml:space="preserve"> </w:t>
      </w:r>
      <w:r w:rsidR="00776B73">
        <w:t xml:space="preserve">  </w:t>
      </w:r>
    </w:p>
    <w:p w:rsidR="00CF7F04" w:rsidRDefault="00CF7F04" w:rsidP="00CF7F04">
      <w:pPr>
        <w:spacing w:after="0"/>
        <w:jc w:val="center"/>
        <w:rPr>
          <w:rStyle w:val="Strong"/>
        </w:rPr>
      </w:pPr>
      <w:r w:rsidRPr="00CF7F04">
        <w:rPr>
          <w:rStyle w:val="Strong"/>
        </w:rPr>
        <w:lastRenderedPageBreak/>
        <w:t>Reference:</w:t>
      </w:r>
    </w:p>
    <w:p w:rsidR="00CF7F04" w:rsidRPr="00CF7F04" w:rsidRDefault="00CF7F04" w:rsidP="00CF7F04">
      <w:pPr>
        <w:pStyle w:val="FootnoteText"/>
        <w:spacing w:line="480" w:lineRule="auto"/>
        <w:ind w:firstLine="567"/>
        <w:rPr>
          <w:i/>
          <w:sz w:val="24"/>
          <w:szCs w:val="24"/>
        </w:rPr>
      </w:pPr>
      <w:r w:rsidRPr="00CF7F04">
        <w:rPr>
          <w:sz w:val="24"/>
          <w:szCs w:val="24"/>
        </w:rPr>
        <w:t xml:space="preserve">World Heritage Encyclopedia. “Andrew Moray.” </w:t>
      </w:r>
      <w:r w:rsidRPr="00CF7F04">
        <w:rPr>
          <w:i/>
          <w:sz w:val="24"/>
          <w:szCs w:val="24"/>
        </w:rPr>
        <w:t>Schoolebooklibrary.net</w:t>
      </w:r>
      <w:r w:rsidRPr="00CF7F04">
        <w:rPr>
          <w:sz w:val="24"/>
          <w:szCs w:val="24"/>
        </w:rPr>
        <w:t xml:space="preserve">, http://www.schoolebooklibrary.net/articles/eng/Andrew_Moray. Accessed 3 Nov. 2016. </w:t>
      </w:r>
    </w:p>
    <w:p w:rsidR="00CF7F04" w:rsidRPr="00CF7F04" w:rsidRDefault="00CF7F04" w:rsidP="00CF7F04">
      <w:pPr>
        <w:rPr>
          <w:rStyle w:val="Strong"/>
          <w:b w:val="0"/>
        </w:rPr>
      </w:pPr>
    </w:p>
    <w:sectPr w:rsidR="00CF7F04" w:rsidRPr="00CF7F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F19" w:rsidRDefault="00D16F19" w:rsidP="00332458">
      <w:pPr>
        <w:spacing w:after="0" w:line="240" w:lineRule="auto"/>
      </w:pPr>
      <w:r>
        <w:separator/>
      </w:r>
    </w:p>
  </w:endnote>
  <w:endnote w:type="continuationSeparator" w:id="0">
    <w:p w:rsidR="00D16F19" w:rsidRDefault="00D16F19" w:rsidP="00332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A78" w:rsidRDefault="00363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A78" w:rsidRDefault="00363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A78" w:rsidRDefault="00363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F19" w:rsidRDefault="00D16F19" w:rsidP="00332458">
      <w:pPr>
        <w:spacing w:after="0" w:line="240" w:lineRule="auto"/>
      </w:pPr>
      <w:r>
        <w:separator/>
      </w:r>
    </w:p>
  </w:footnote>
  <w:footnote w:type="continuationSeparator" w:id="0">
    <w:p w:rsidR="00D16F19" w:rsidRDefault="00D16F19" w:rsidP="00332458">
      <w:pPr>
        <w:spacing w:after="0" w:line="240" w:lineRule="auto"/>
      </w:pPr>
      <w:r>
        <w:continuationSeparator/>
      </w:r>
    </w:p>
  </w:footnote>
  <w:footnote w:id="1">
    <w:p w:rsidR="00332458" w:rsidRPr="00332458" w:rsidRDefault="00332458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</w:t>
      </w:r>
      <w:r w:rsidR="00586D35">
        <w:t>World Heritage Encyclopedia</w:t>
      </w:r>
      <w:r>
        <w:t>. “</w:t>
      </w:r>
      <w:r w:rsidRPr="00332458">
        <w:t>Andrew Moray</w:t>
      </w:r>
      <w:r w:rsidR="00586D35">
        <w:t>.</w:t>
      </w:r>
      <w:r>
        <w:t>”</w:t>
      </w:r>
      <w:r w:rsidR="00586D35" w:rsidRPr="00586D35">
        <w:t xml:space="preserve"> </w:t>
      </w:r>
      <w:r w:rsidR="00586D35" w:rsidRPr="00586D35">
        <w:rPr>
          <w:i/>
        </w:rPr>
        <w:t>Schoolebooklibrary.net</w:t>
      </w:r>
      <w:r w:rsidR="00586D35" w:rsidRPr="00586D35">
        <w:t xml:space="preserve">, </w:t>
      </w:r>
      <w:r w:rsidR="00942BBE" w:rsidRPr="00942BBE">
        <w:t>http://www.schoolebooklibrary.net/articles/eng/Andrew_Moray</w:t>
      </w:r>
      <w:r w:rsidR="00942BBE">
        <w:t>. Accessed 3</w:t>
      </w:r>
      <w:r w:rsidR="00586D35" w:rsidRPr="00586D35">
        <w:t xml:space="preserve"> N</w:t>
      </w:r>
      <w:r w:rsidR="00586D35">
        <w:t xml:space="preserve">ov. 2016. </w:t>
      </w:r>
    </w:p>
  </w:footnote>
  <w:footnote w:id="2">
    <w:p w:rsidR="00AF652D" w:rsidRPr="00AF652D" w:rsidRDefault="00AF652D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Ibid.</w:t>
      </w:r>
    </w:p>
  </w:footnote>
  <w:footnote w:id="3">
    <w:p w:rsidR="00AF652D" w:rsidRPr="00AF652D" w:rsidRDefault="00AF652D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Ibid.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A78" w:rsidRDefault="00363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A78" w:rsidRDefault="00363A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A78" w:rsidRDefault="00363A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B6"/>
    <w:rsid w:val="000056E2"/>
    <w:rsid w:val="00032EC3"/>
    <w:rsid w:val="00056572"/>
    <w:rsid w:val="000C5B71"/>
    <w:rsid w:val="000E4F6D"/>
    <w:rsid w:val="000E7E5C"/>
    <w:rsid w:val="001D2FBC"/>
    <w:rsid w:val="00297E42"/>
    <w:rsid w:val="002D7FDE"/>
    <w:rsid w:val="00315CC5"/>
    <w:rsid w:val="00332458"/>
    <w:rsid w:val="0033373A"/>
    <w:rsid w:val="00357246"/>
    <w:rsid w:val="00363A78"/>
    <w:rsid w:val="003711A6"/>
    <w:rsid w:val="003A0B6D"/>
    <w:rsid w:val="004160FA"/>
    <w:rsid w:val="004F1126"/>
    <w:rsid w:val="005107DE"/>
    <w:rsid w:val="00564582"/>
    <w:rsid w:val="00572964"/>
    <w:rsid w:val="00573688"/>
    <w:rsid w:val="00586D35"/>
    <w:rsid w:val="006711BB"/>
    <w:rsid w:val="006743F2"/>
    <w:rsid w:val="00744199"/>
    <w:rsid w:val="00772AAE"/>
    <w:rsid w:val="00775FB6"/>
    <w:rsid w:val="00776B73"/>
    <w:rsid w:val="007850B6"/>
    <w:rsid w:val="00825FFE"/>
    <w:rsid w:val="008532BC"/>
    <w:rsid w:val="008A6B24"/>
    <w:rsid w:val="008B0ABD"/>
    <w:rsid w:val="008C0DF8"/>
    <w:rsid w:val="008F7E70"/>
    <w:rsid w:val="009058A5"/>
    <w:rsid w:val="00942BBE"/>
    <w:rsid w:val="009808F3"/>
    <w:rsid w:val="00A021E6"/>
    <w:rsid w:val="00A66282"/>
    <w:rsid w:val="00AF652D"/>
    <w:rsid w:val="00B06FBD"/>
    <w:rsid w:val="00BB66F3"/>
    <w:rsid w:val="00C16159"/>
    <w:rsid w:val="00C21130"/>
    <w:rsid w:val="00CC3480"/>
    <w:rsid w:val="00CD1822"/>
    <w:rsid w:val="00CD4B6D"/>
    <w:rsid w:val="00CF7F04"/>
    <w:rsid w:val="00D16F19"/>
    <w:rsid w:val="00D24289"/>
    <w:rsid w:val="00D372C7"/>
    <w:rsid w:val="00E12458"/>
    <w:rsid w:val="00E22515"/>
    <w:rsid w:val="00E716B1"/>
    <w:rsid w:val="00E72E16"/>
    <w:rsid w:val="00E85EA7"/>
    <w:rsid w:val="00EB34C4"/>
    <w:rsid w:val="00EB47AF"/>
    <w:rsid w:val="00EC656F"/>
    <w:rsid w:val="00F046D2"/>
    <w:rsid w:val="00F6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CC9B"/>
  <w15:chartTrackingRefBased/>
  <w15:docId w15:val="{1741481C-192C-4AF6-AFC4-219F9616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6159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324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24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245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86D3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3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A7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63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A78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A6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6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6B2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6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6B2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2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7F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B8489-A841-42F8-82A6-509F62B48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</dc:creator>
  <cp:keywords/>
  <dc:description/>
  <cp:lastModifiedBy>Ioana</cp:lastModifiedBy>
  <cp:revision>22</cp:revision>
  <dcterms:created xsi:type="dcterms:W3CDTF">2016-11-03T01:24:00Z</dcterms:created>
  <dcterms:modified xsi:type="dcterms:W3CDTF">2016-11-09T23:00:00Z</dcterms:modified>
</cp:coreProperties>
</file>