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2B73" w:rsidRDefault="006C5240">
      <w:pPr>
        <w:spacing w:line="480" w:lineRule="auto"/>
      </w:pPr>
      <w:r>
        <w:rPr>
          <w:rFonts w:ascii="Times New Roman" w:eastAsia="Times New Roman" w:hAnsi="Times New Roman" w:cs="Times New Roman"/>
          <w:sz w:val="24"/>
          <w:szCs w:val="24"/>
        </w:rPr>
        <w:t>Mexico</w:t>
      </w:r>
      <w:r>
        <w:rPr>
          <w:noProof/>
        </w:rPr>
        <w:drawing>
          <wp:anchor distT="114300" distB="114300" distL="114300" distR="114300" simplePos="0" relativeHeight="251658240" behindDoc="0" locked="0" layoutInCell="0" hidden="0" allowOverlap="1">
            <wp:simplePos x="0" y="0"/>
            <wp:positionH relativeFrom="margin">
              <wp:posOffset>4581525</wp:posOffset>
            </wp:positionH>
            <wp:positionV relativeFrom="paragraph">
              <wp:posOffset>0</wp:posOffset>
            </wp:positionV>
            <wp:extent cx="1652588" cy="945471"/>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52588" cy="945471"/>
                    </a:xfrm>
                    <a:prstGeom prst="rect">
                      <a:avLst/>
                    </a:prstGeom>
                    <a:ln/>
                  </pic:spPr>
                </pic:pic>
              </a:graphicData>
            </a:graphic>
          </wp:anchor>
        </w:drawing>
      </w:r>
    </w:p>
    <w:p w:rsidR="00B72B73" w:rsidRDefault="006C5240">
      <w:pPr>
        <w:spacing w:line="480" w:lineRule="auto"/>
      </w:pPr>
      <w:r>
        <w:rPr>
          <w:rFonts w:ascii="Times New Roman" w:eastAsia="Times New Roman" w:hAnsi="Times New Roman" w:cs="Times New Roman"/>
          <w:sz w:val="24"/>
          <w:szCs w:val="24"/>
        </w:rPr>
        <w:t>Mia Zang</w:t>
      </w:r>
    </w:p>
    <w:p w:rsidR="00B72B73" w:rsidRDefault="006C5240">
      <w:pPr>
        <w:spacing w:line="480" w:lineRule="auto"/>
      </w:pPr>
      <w:r>
        <w:rPr>
          <w:rFonts w:ascii="Times New Roman" w:eastAsia="Times New Roman" w:hAnsi="Times New Roman" w:cs="Times New Roman"/>
          <w:sz w:val="24"/>
          <w:szCs w:val="24"/>
        </w:rPr>
        <w:t>UNESCO</w:t>
      </w:r>
    </w:p>
    <w:p w:rsidR="00B72B73" w:rsidRDefault="006C5240">
      <w:pPr>
        <w:spacing w:line="480" w:lineRule="auto"/>
        <w:jc w:val="center"/>
      </w:pPr>
      <w:r>
        <w:rPr>
          <w:rFonts w:ascii="Times New Roman" w:eastAsia="Times New Roman" w:hAnsi="Times New Roman" w:cs="Times New Roman"/>
          <w:sz w:val="24"/>
          <w:szCs w:val="24"/>
        </w:rPr>
        <w:t xml:space="preserve">                                        Topic 1: Governance and its Effects on Education </w:t>
      </w:r>
    </w:p>
    <w:p w:rsidR="00B72B73" w:rsidRDefault="006C5240">
      <w:pPr>
        <w:spacing w:line="480" w:lineRule="auto"/>
      </w:pPr>
      <w:r>
        <w:rPr>
          <w:rFonts w:ascii="Times New Roman" w:eastAsia="Times New Roman" w:hAnsi="Times New Roman" w:cs="Times New Roman"/>
          <w:sz w:val="24"/>
          <w:szCs w:val="24"/>
        </w:rPr>
        <w:tab/>
        <w:t>According to the World Bank, “good governance in education systems promotes effective delivery of education services.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order for governance to have an effective impact on education, several factors regarding a country’s situation must be considered, two of the most important being corruption and political stability, as well as the education system itself. Working togeth</w:t>
      </w:r>
      <w:r>
        <w:rPr>
          <w:rFonts w:ascii="Times New Roman" w:eastAsia="Times New Roman" w:hAnsi="Times New Roman" w:cs="Times New Roman"/>
          <w:sz w:val="24"/>
          <w:szCs w:val="24"/>
        </w:rPr>
        <w:t>er with other United Nations programs such as United Nations Office on Drugs and Crime (UNODC)</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United Nations Convention Against Corruption (UNCAC)</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UNESCO has attempted to solve the issues surrounding governance and its effects on education. Howeve</w:t>
      </w:r>
      <w:r>
        <w:rPr>
          <w:rFonts w:ascii="Times New Roman" w:eastAsia="Times New Roman" w:hAnsi="Times New Roman" w:cs="Times New Roman"/>
          <w:sz w:val="24"/>
          <w:szCs w:val="24"/>
        </w:rPr>
        <w:t>r, further action must be taken to decrease levels of corruption and promote political stability in order to universally improve education systems.</w:t>
      </w:r>
    </w:p>
    <w:p w:rsidR="00B72B73" w:rsidRDefault="006C5240">
      <w:pPr>
        <w:spacing w:line="480" w:lineRule="auto"/>
        <w:ind w:firstLine="720"/>
      </w:pPr>
      <w:r>
        <w:rPr>
          <w:rFonts w:ascii="Times New Roman" w:eastAsia="Times New Roman" w:hAnsi="Times New Roman" w:cs="Times New Roman"/>
          <w:sz w:val="24"/>
          <w:szCs w:val="24"/>
        </w:rPr>
        <w:t>The delegation of Mexico, according to Transparency International, is ranked 95th out of 168 countries in te</w:t>
      </w:r>
      <w:r>
        <w:rPr>
          <w:rFonts w:ascii="Times New Roman" w:eastAsia="Times New Roman" w:hAnsi="Times New Roman" w:cs="Times New Roman"/>
          <w:sz w:val="24"/>
          <w:szCs w:val="24"/>
        </w:rPr>
        <w:t>rms of corruption.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The rampant levels of corruption are primarily due to the “violence and security problem that seriously undermines the rule of law and democracy, and social cohesion as a challenge for democracy”.</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Specifically pertaining to Mexico’s </w:t>
      </w:r>
      <w:r>
        <w:rPr>
          <w:rFonts w:ascii="Times New Roman" w:eastAsia="Times New Roman" w:hAnsi="Times New Roman" w:cs="Times New Roman"/>
          <w:sz w:val="24"/>
          <w:szCs w:val="24"/>
        </w:rPr>
        <w:t xml:space="preserve">system of </w:t>
      </w:r>
      <w:r>
        <w:rPr>
          <w:rFonts w:ascii="Times New Roman" w:eastAsia="Times New Roman" w:hAnsi="Times New Roman" w:cs="Times New Roman"/>
          <w:sz w:val="24"/>
          <w:szCs w:val="24"/>
        </w:rPr>
        <w:lastRenderedPageBreak/>
        <w:t>education,  it is over-unionized and spends wastefully.</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President Pena Nieto has made effort to reform the public policy, but due to the lack of political stability, while he has had some impact, has lacked public support.</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In 2013, Mexico passe</w:t>
      </w:r>
      <w:r>
        <w:rPr>
          <w:rFonts w:ascii="Times New Roman" w:eastAsia="Times New Roman" w:hAnsi="Times New Roman" w:cs="Times New Roman"/>
          <w:sz w:val="24"/>
          <w:szCs w:val="24"/>
        </w:rPr>
        <w:t>d an education reform bill, with the purpose of weakening powerful teacher unions in order to develop a meritocracy within the profession.</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In order to break up the powerful teacher union, Mexico implemented the decentralization of education, giving states</w:t>
      </w:r>
      <w:r>
        <w:rPr>
          <w:rFonts w:ascii="Times New Roman" w:eastAsia="Times New Roman" w:hAnsi="Times New Roman" w:cs="Times New Roman"/>
          <w:sz w:val="24"/>
          <w:szCs w:val="24"/>
        </w:rPr>
        <w:t xml:space="preserve"> the power to decrease corruption within the system.</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Since 1950, total Mexican student enrollment has increased from 3.25 million students to 28.22 million students in 2000.</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However, while the quantity of Mexican education is above average in comparison </w:t>
      </w:r>
      <w:r>
        <w:rPr>
          <w:rFonts w:ascii="Times New Roman" w:eastAsia="Times New Roman" w:hAnsi="Times New Roman" w:cs="Times New Roman"/>
          <w:sz w:val="24"/>
          <w:szCs w:val="24"/>
        </w:rPr>
        <w:t>to all PISA democracies, the quality of the education falls below average.</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w:t>
      </w:r>
    </w:p>
    <w:p w:rsidR="00B72B73" w:rsidRDefault="006C5240">
      <w:pPr>
        <w:spacing w:line="480" w:lineRule="auto"/>
        <w:ind w:firstLine="720"/>
      </w:pPr>
      <w:r>
        <w:rPr>
          <w:rFonts w:ascii="Times New Roman" w:eastAsia="Times New Roman" w:hAnsi="Times New Roman" w:cs="Times New Roman"/>
          <w:sz w:val="24"/>
          <w:szCs w:val="24"/>
        </w:rPr>
        <w:t>In order to curb corruption, both within and outside of the education system, promote political stability, and improve the overall quality of education, Mexico supports the idea o</w:t>
      </w:r>
      <w:r>
        <w:rPr>
          <w:rFonts w:ascii="Times New Roman" w:eastAsia="Times New Roman" w:hAnsi="Times New Roman" w:cs="Times New Roman"/>
          <w:sz w:val="24"/>
          <w:szCs w:val="24"/>
        </w:rPr>
        <w:t>f promoting UN run programs to intervene in an effort to resolve these universal issues. Mexico recognizes that each nation has different levels of corruption and political instability, and therefore suggests that UNESCO works to create organizations to go</w:t>
      </w:r>
      <w:r>
        <w:rPr>
          <w:rFonts w:ascii="Times New Roman" w:eastAsia="Times New Roman" w:hAnsi="Times New Roman" w:cs="Times New Roman"/>
          <w:sz w:val="24"/>
          <w:szCs w:val="24"/>
        </w:rPr>
        <w:t xml:space="preserve"> into the nations with the highest levels to disband corrupt governments and instability through promoting democracy. In order to regulate each nation’s internal affairs, Mexico suggests that the policies of UNODC and UNCAC are enforced more strictly or wo</w:t>
      </w:r>
      <w:r>
        <w:rPr>
          <w:rFonts w:ascii="Times New Roman" w:eastAsia="Times New Roman" w:hAnsi="Times New Roman" w:cs="Times New Roman"/>
          <w:sz w:val="24"/>
          <w:szCs w:val="24"/>
        </w:rPr>
        <w:t xml:space="preserve">uld support the creation of a new program which would further implement and support these policies. To make education more available to refugees and during unstable times, Mexico proposes the creation of a  UN funded, non-profit educational </w:t>
      </w:r>
      <w:r>
        <w:rPr>
          <w:rFonts w:ascii="Times New Roman" w:eastAsia="Times New Roman" w:hAnsi="Times New Roman" w:cs="Times New Roman"/>
          <w:sz w:val="24"/>
          <w:szCs w:val="24"/>
        </w:rPr>
        <w:lastRenderedPageBreak/>
        <w:t>program to go i</w:t>
      </w:r>
      <w:r>
        <w:rPr>
          <w:rFonts w:ascii="Times New Roman" w:eastAsia="Times New Roman" w:hAnsi="Times New Roman" w:cs="Times New Roman"/>
          <w:sz w:val="24"/>
          <w:szCs w:val="24"/>
        </w:rPr>
        <w:t xml:space="preserve">nto countries that lack a certain level of education, which these countries would be required to accept. In regards to improving education for nations which do not fall under these circumstances, Mexico suggests that a certain percentage of a nation’s GDP </w:t>
      </w:r>
      <w:r>
        <w:rPr>
          <w:rFonts w:ascii="Times New Roman" w:eastAsia="Times New Roman" w:hAnsi="Times New Roman" w:cs="Times New Roman"/>
          <w:sz w:val="24"/>
          <w:szCs w:val="24"/>
        </w:rPr>
        <w:t>be required to go towards education, and that education becomes decentralized in order to decrease corruption. Other than corruption and political instability, nations can look to their percentage of employment and the division of wealth to see if they hav</w:t>
      </w:r>
      <w:r>
        <w:rPr>
          <w:rFonts w:ascii="Times New Roman" w:eastAsia="Times New Roman" w:hAnsi="Times New Roman" w:cs="Times New Roman"/>
          <w:sz w:val="24"/>
          <w:szCs w:val="24"/>
        </w:rPr>
        <w:t>e reached good governance. Mexico, although faced with a large gap of division between the wealthy and poor, is looking to minimize the difference and equalize the distribution of resources, and suggests that other nations do so as well in order to promote</w:t>
      </w:r>
      <w:r>
        <w:rPr>
          <w:rFonts w:ascii="Times New Roman" w:eastAsia="Times New Roman" w:hAnsi="Times New Roman" w:cs="Times New Roman"/>
          <w:sz w:val="24"/>
          <w:szCs w:val="24"/>
        </w:rPr>
        <w:t xml:space="preserve"> good governance and decrease of corruption. </w:t>
      </w:r>
    </w:p>
    <w:p w:rsidR="00B72B73" w:rsidRDefault="006C5240">
      <w:r>
        <w:br w:type="page"/>
      </w:r>
    </w:p>
    <w:p w:rsidR="00B72B73" w:rsidRDefault="00B72B73">
      <w:pPr>
        <w:spacing w:line="480" w:lineRule="auto"/>
        <w:ind w:firstLine="720"/>
      </w:pPr>
    </w:p>
    <w:p w:rsidR="00B72B73" w:rsidRDefault="006C5240">
      <w:pPr>
        <w:spacing w:line="480" w:lineRule="auto"/>
        <w:ind w:firstLine="720"/>
        <w:jc w:val="center"/>
      </w:pPr>
      <w:r>
        <w:rPr>
          <w:rFonts w:ascii="Times New Roman" w:eastAsia="Times New Roman" w:hAnsi="Times New Roman" w:cs="Times New Roman"/>
          <w:sz w:val="24"/>
          <w:szCs w:val="24"/>
        </w:rPr>
        <w:t>Works Cited</w:t>
      </w:r>
    </w:p>
    <w:p w:rsidR="00B72B73" w:rsidRDefault="006C5240">
      <w:pPr>
        <w:spacing w:line="240" w:lineRule="auto"/>
        <w:ind w:hanging="630"/>
      </w:pPr>
      <w:r>
        <w:rPr>
          <w:sz w:val="24"/>
          <w:szCs w:val="24"/>
        </w:rPr>
        <w:t xml:space="preserve"> </w:t>
      </w:r>
      <w:r>
        <w:rPr>
          <w:rFonts w:ascii="Times New Roman" w:eastAsia="Times New Roman" w:hAnsi="Times New Roman" w:cs="Times New Roman"/>
          <w:sz w:val="24"/>
          <w:szCs w:val="24"/>
        </w:rPr>
        <w:t xml:space="preserve">"Convention against Corruption (CAC)” United Nations Office on Drugs and Crime. Accessed May 31, 2016. https://www.unodc.org/unodc/en/treaties/CAC/. 9 </w:t>
      </w:r>
    </w:p>
    <w:p w:rsidR="00B72B73" w:rsidRDefault="00B72B73">
      <w:pPr>
        <w:spacing w:line="240" w:lineRule="auto"/>
        <w:ind w:hanging="630"/>
      </w:pPr>
    </w:p>
    <w:p w:rsidR="00B72B73" w:rsidRDefault="006C5240">
      <w:pPr>
        <w:spacing w:line="240" w:lineRule="auto"/>
        <w:ind w:hanging="630"/>
      </w:pPr>
      <w:r>
        <w:rPr>
          <w:rFonts w:ascii="Times New Roman" w:eastAsia="Times New Roman" w:hAnsi="Times New Roman" w:cs="Times New Roman"/>
          <w:color w:val="323232"/>
          <w:sz w:val="24"/>
          <w:szCs w:val="24"/>
        </w:rPr>
        <w:t xml:space="preserve">E.V., Transparency International. "Thank </w:t>
      </w:r>
      <w:r>
        <w:rPr>
          <w:rFonts w:ascii="Times New Roman" w:eastAsia="Times New Roman" w:hAnsi="Times New Roman" w:cs="Times New Roman"/>
          <w:color w:val="323232"/>
          <w:sz w:val="24"/>
          <w:szCs w:val="24"/>
        </w:rPr>
        <w:t>You for Donating To Transparency International!" Transparency International. Accessed October 31, 2016. http://www.transparency.org/country.</w:t>
      </w:r>
    </w:p>
    <w:p w:rsidR="00B72B73" w:rsidRDefault="00B72B73">
      <w:pPr>
        <w:spacing w:line="240" w:lineRule="auto"/>
        <w:ind w:hanging="630"/>
      </w:pPr>
    </w:p>
    <w:p w:rsidR="00B72B73" w:rsidRDefault="006C5240">
      <w:pPr>
        <w:spacing w:line="240" w:lineRule="auto"/>
        <w:ind w:hanging="630"/>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323232"/>
          <w:sz w:val="24"/>
          <w:szCs w:val="24"/>
        </w:rPr>
        <w:t xml:space="preserve">Lewis, Maureen. "Governance in Education: Raising Performance." </w:t>
      </w:r>
      <w:r>
        <w:rPr>
          <w:rFonts w:ascii="Times New Roman" w:eastAsia="Times New Roman" w:hAnsi="Times New Roman" w:cs="Times New Roman"/>
          <w:i/>
          <w:color w:val="323232"/>
          <w:sz w:val="24"/>
          <w:szCs w:val="24"/>
        </w:rPr>
        <w:t>World Bank</w:t>
      </w:r>
      <w:r>
        <w:rPr>
          <w:rFonts w:ascii="Times New Roman" w:eastAsia="Times New Roman" w:hAnsi="Times New Roman" w:cs="Times New Roman"/>
          <w:color w:val="323232"/>
          <w:sz w:val="24"/>
          <w:szCs w:val="24"/>
        </w:rPr>
        <w:t>, December 22, 2009. Accessed October 3</w:t>
      </w:r>
      <w:r>
        <w:rPr>
          <w:rFonts w:ascii="Times New Roman" w:eastAsia="Times New Roman" w:hAnsi="Times New Roman" w:cs="Times New Roman"/>
          <w:color w:val="323232"/>
          <w:sz w:val="24"/>
          <w:szCs w:val="24"/>
        </w:rPr>
        <w:t>1, 2016.</w:t>
      </w:r>
    </w:p>
    <w:p w:rsidR="00B72B73" w:rsidRDefault="00B72B73">
      <w:pPr>
        <w:spacing w:line="240" w:lineRule="auto"/>
        <w:ind w:hanging="630"/>
      </w:pPr>
    </w:p>
    <w:p w:rsidR="00B72B73" w:rsidRDefault="006C5240">
      <w:pPr>
        <w:spacing w:line="240" w:lineRule="auto"/>
        <w:ind w:hanging="630"/>
      </w:pPr>
      <w:r>
        <w:rPr>
          <w:rFonts w:ascii="Times New Roman" w:eastAsia="Times New Roman" w:hAnsi="Times New Roman" w:cs="Times New Roman"/>
          <w:color w:val="323232"/>
          <w:sz w:val="24"/>
          <w:szCs w:val="24"/>
        </w:rPr>
        <w:t>News, BBC. "Mexico's Pena Nieto Enacts Major Education Reform." BBC News. February 26, 2013. Accessed October 31, 2016. http://www.bbc.com/news/world-latin-america-21582629.</w:t>
      </w:r>
    </w:p>
    <w:p w:rsidR="00B72B73" w:rsidRDefault="00B72B73">
      <w:pPr>
        <w:spacing w:line="240" w:lineRule="auto"/>
        <w:ind w:hanging="630"/>
      </w:pPr>
    </w:p>
    <w:p w:rsidR="00B72B73" w:rsidRDefault="006C5240">
      <w:pPr>
        <w:spacing w:line="240" w:lineRule="auto"/>
        <w:ind w:hanging="630"/>
      </w:pPr>
      <w:r>
        <w:rPr>
          <w:rFonts w:ascii="Times New Roman" w:eastAsia="Times New Roman" w:hAnsi="Times New Roman" w:cs="Times New Roman"/>
          <w:color w:val="323232"/>
          <w:sz w:val="24"/>
          <w:szCs w:val="24"/>
        </w:rPr>
        <w:t>Philip, George, Jorg Faust, and Martin Thunert. "SGI Indicators Sustain</w:t>
      </w:r>
      <w:r>
        <w:rPr>
          <w:rFonts w:ascii="Times New Roman" w:eastAsia="Times New Roman" w:hAnsi="Times New Roman" w:cs="Times New Roman"/>
          <w:color w:val="323232"/>
          <w:sz w:val="24"/>
          <w:szCs w:val="24"/>
        </w:rPr>
        <w:t>able Governance." 2015. Accessed October 31, 2016. http://www.sgi-network.org/docs/2015/country/SGI2015_Mexico.pdf.</w:t>
      </w:r>
    </w:p>
    <w:p w:rsidR="00B72B73" w:rsidRDefault="00B72B73">
      <w:pPr>
        <w:spacing w:line="240" w:lineRule="auto"/>
        <w:ind w:hanging="630"/>
      </w:pPr>
    </w:p>
    <w:p w:rsidR="00B72B73" w:rsidRDefault="006C5240">
      <w:pPr>
        <w:spacing w:line="240" w:lineRule="auto"/>
        <w:ind w:hanging="630"/>
      </w:pPr>
      <w:r>
        <w:rPr>
          <w:rFonts w:ascii="Times New Roman" w:eastAsia="Times New Roman" w:hAnsi="Times New Roman" w:cs="Times New Roman"/>
          <w:color w:val="323232"/>
          <w:sz w:val="24"/>
          <w:szCs w:val="24"/>
        </w:rPr>
        <w:t>wespicks. "Education in Mexico ." WENR. Accessed October 31, 2016. http://wenr.wes.org/2016/08/education-in-mexico.</w:t>
      </w:r>
    </w:p>
    <w:p w:rsidR="00B72B73" w:rsidRDefault="00B72B73">
      <w:pPr>
        <w:spacing w:line="240" w:lineRule="auto"/>
        <w:ind w:hanging="630"/>
      </w:pPr>
    </w:p>
    <w:p w:rsidR="00A61475" w:rsidRDefault="006C5240">
      <w:pPr>
        <w:spacing w:line="240" w:lineRule="auto"/>
        <w:ind w:hanging="630"/>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Zimmermann@stlouisfed.</w:t>
      </w:r>
      <w:r>
        <w:rPr>
          <w:rFonts w:ascii="Times New Roman" w:eastAsia="Times New Roman" w:hAnsi="Times New Roman" w:cs="Times New Roman"/>
          <w:color w:val="323232"/>
          <w:sz w:val="24"/>
          <w:szCs w:val="24"/>
        </w:rPr>
        <w:t>org, and World Bank. "Democratic Governance in Mexico : Beyond State Capture and Social Polarization." Democratic Governance in Mexico : Beyond State Capture and Social Polarization. Accessed October 31, 2016. https://ideas.repec.org/p/wbk/wboper/7689.html</w:t>
      </w:r>
      <w:r>
        <w:rPr>
          <w:rFonts w:ascii="Times New Roman" w:eastAsia="Times New Roman" w:hAnsi="Times New Roman" w:cs="Times New Roman"/>
          <w:color w:val="323232"/>
          <w:sz w:val="24"/>
          <w:szCs w:val="24"/>
        </w:rPr>
        <w:t>.</w:t>
      </w:r>
    </w:p>
    <w:p w:rsidR="00A61475" w:rsidRDefault="00A61475">
      <w:pPr>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br w:type="page"/>
      </w:r>
    </w:p>
    <w:p w:rsidR="00A61475" w:rsidRDefault="00A61475" w:rsidP="00A61475">
      <w:pPr>
        <w:spacing w:line="480" w:lineRule="auto"/>
      </w:pPr>
      <w:r>
        <w:rPr>
          <w:rFonts w:ascii="Times New Roman" w:eastAsia="Times New Roman" w:hAnsi="Times New Roman" w:cs="Times New Roman"/>
          <w:sz w:val="24"/>
          <w:szCs w:val="24"/>
        </w:rPr>
        <w:lastRenderedPageBreak/>
        <w:t>Mexico</w:t>
      </w:r>
      <w:r>
        <w:rPr>
          <w:noProof/>
        </w:rPr>
        <w:drawing>
          <wp:anchor distT="114300" distB="114300" distL="114300" distR="114300" simplePos="0" relativeHeight="251660288" behindDoc="0" locked="0" layoutInCell="0" hidden="0" allowOverlap="1" wp14:anchorId="29E12BCE" wp14:editId="3E5A434B">
            <wp:simplePos x="0" y="0"/>
            <wp:positionH relativeFrom="margin">
              <wp:posOffset>4610100</wp:posOffset>
            </wp:positionH>
            <wp:positionV relativeFrom="paragraph">
              <wp:posOffset>0</wp:posOffset>
            </wp:positionV>
            <wp:extent cx="1652588" cy="945471"/>
            <wp:effectExtent l="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52588" cy="945471"/>
                    </a:xfrm>
                    <a:prstGeom prst="rect">
                      <a:avLst/>
                    </a:prstGeom>
                    <a:ln/>
                  </pic:spPr>
                </pic:pic>
              </a:graphicData>
            </a:graphic>
          </wp:anchor>
        </w:drawing>
      </w:r>
    </w:p>
    <w:p w:rsidR="00A61475" w:rsidRDefault="00A61475" w:rsidP="00A61475">
      <w:pPr>
        <w:spacing w:line="480" w:lineRule="auto"/>
      </w:pPr>
      <w:r>
        <w:rPr>
          <w:rFonts w:ascii="Times New Roman" w:eastAsia="Times New Roman" w:hAnsi="Times New Roman" w:cs="Times New Roman"/>
          <w:sz w:val="24"/>
          <w:szCs w:val="24"/>
        </w:rPr>
        <w:t>Mia Zang</w:t>
      </w:r>
    </w:p>
    <w:p w:rsidR="00A61475" w:rsidRDefault="00A61475" w:rsidP="00A61475">
      <w:pPr>
        <w:spacing w:line="480" w:lineRule="auto"/>
      </w:pPr>
      <w:r>
        <w:rPr>
          <w:rFonts w:ascii="Times New Roman" w:eastAsia="Times New Roman" w:hAnsi="Times New Roman" w:cs="Times New Roman"/>
          <w:sz w:val="24"/>
          <w:szCs w:val="24"/>
        </w:rPr>
        <w:t>UNESCO</w:t>
      </w:r>
    </w:p>
    <w:p w:rsidR="00A61475" w:rsidRDefault="00A61475" w:rsidP="00A61475">
      <w:pPr>
        <w:spacing w:line="480" w:lineRule="auto"/>
        <w:jc w:val="center"/>
      </w:pPr>
      <w:r>
        <w:rPr>
          <w:rFonts w:ascii="Times New Roman" w:eastAsia="Times New Roman" w:hAnsi="Times New Roman" w:cs="Times New Roman"/>
          <w:sz w:val="24"/>
          <w:szCs w:val="24"/>
        </w:rPr>
        <w:t>Topic 2: Preservation of World Heritage Sites</w:t>
      </w:r>
    </w:p>
    <w:p w:rsidR="00A61475" w:rsidRDefault="00A61475" w:rsidP="00A61475">
      <w:pPr>
        <w:spacing w:line="480" w:lineRule="auto"/>
        <w:ind w:firstLine="720"/>
      </w:pPr>
      <w:r>
        <w:rPr>
          <w:rFonts w:ascii="Times New Roman" w:eastAsia="Times New Roman" w:hAnsi="Times New Roman" w:cs="Times New Roman"/>
          <w:sz w:val="24"/>
          <w:szCs w:val="24"/>
        </w:rPr>
        <w:t xml:space="preserve">According to the World Heritage Committee, in order “to </w:t>
      </w:r>
      <w:r>
        <w:rPr>
          <w:rFonts w:ascii="Times New Roman" w:eastAsia="Times New Roman" w:hAnsi="Times New Roman" w:cs="Times New Roman"/>
          <w:sz w:val="24"/>
          <w:szCs w:val="24"/>
          <w:highlight w:val="white"/>
        </w:rPr>
        <w:t>be included on the World Heritage List, sites must be of outstanding universal value and meet at least one out of ten selection criteria.”</w:t>
      </w:r>
      <w:r>
        <w:rPr>
          <w:rFonts w:ascii="Times New Roman" w:eastAsia="Times New Roman" w:hAnsi="Times New Roman" w:cs="Times New Roman"/>
          <w:sz w:val="24"/>
          <w:szCs w:val="24"/>
          <w:highlight w:val="white"/>
          <w:vertAlign w:val="superscript"/>
        </w:rPr>
        <w:footnoteReference w:id="12"/>
      </w:r>
      <w:r>
        <w:rPr>
          <w:rFonts w:ascii="Times New Roman" w:eastAsia="Times New Roman" w:hAnsi="Times New Roman" w:cs="Times New Roman"/>
          <w:sz w:val="24"/>
          <w:szCs w:val="24"/>
          <w:highlight w:val="white"/>
        </w:rPr>
        <w:t xml:space="preserve"> Recently, many of the World Heritage Sites have been threatened due to war, natural disasters, pollution, poaching, uncontrolled urbanization, and unchecked tourist development.</w:t>
      </w:r>
      <w:r>
        <w:rPr>
          <w:rFonts w:ascii="Times New Roman" w:eastAsia="Times New Roman" w:hAnsi="Times New Roman" w:cs="Times New Roman"/>
          <w:sz w:val="24"/>
          <w:szCs w:val="24"/>
          <w:highlight w:val="white"/>
          <w:vertAlign w:val="superscript"/>
        </w:rPr>
        <w:footnoteReference w:id="13"/>
      </w:r>
      <w:r>
        <w:rPr>
          <w:rFonts w:ascii="Times New Roman" w:eastAsia="Times New Roman" w:hAnsi="Times New Roman" w:cs="Times New Roman"/>
          <w:sz w:val="24"/>
          <w:szCs w:val="24"/>
          <w:highlight w:val="white"/>
        </w:rPr>
        <w:t xml:space="preserve"> Although the World Heritage Committee is attempting to curb the damage, such as establishing a list of World Heritage Sites in Danger which can receive immediate assistance from the World Heritage Fund</w:t>
      </w:r>
      <w:r>
        <w:rPr>
          <w:rFonts w:ascii="Times New Roman" w:eastAsia="Times New Roman" w:hAnsi="Times New Roman" w:cs="Times New Roman"/>
          <w:sz w:val="24"/>
          <w:szCs w:val="24"/>
          <w:highlight w:val="white"/>
          <w:vertAlign w:val="superscript"/>
        </w:rPr>
        <w:footnoteReference w:id="14"/>
      </w:r>
      <w:r>
        <w:rPr>
          <w:rFonts w:ascii="Times New Roman" w:eastAsia="Times New Roman" w:hAnsi="Times New Roman" w:cs="Times New Roman"/>
          <w:sz w:val="24"/>
          <w:szCs w:val="24"/>
          <w:highlight w:val="white"/>
        </w:rPr>
        <w:t xml:space="preserve">, more needs to be done in order to ensure the preservation of these important sites of cultural value. </w:t>
      </w:r>
    </w:p>
    <w:p w:rsidR="00A61475" w:rsidRDefault="00A61475" w:rsidP="00A61475">
      <w:pPr>
        <w:spacing w:line="480" w:lineRule="auto"/>
      </w:pPr>
      <w:r>
        <w:rPr>
          <w:rFonts w:ascii="Times New Roman" w:eastAsia="Times New Roman" w:hAnsi="Times New Roman" w:cs="Times New Roman"/>
          <w:sz w:val="24"/>
          <w:szCs w:val="24"/>
          <w:highlight w:val="white"/>
        </w:rPr>
        <w:tab/>
        <w:t>The delegation of Mexico is currently sixth in the world for number of World Heritage sites, with 33 sites in total.</w:t>
      </w:r>
      <w:r>
        <w:rPr>
          <w:rFonts w:ascii="Times New Roman" w:eastAsia="Times New Roman" w:hAnsi="Times New Roman" w:cs="Times New Roman"/>
          <w:sz w:val="24"/>
          <w:szCs w:val="24"/>
          <w:highlight w:val="white"/>
          <w:vertAlign w:val="superscript"/>
        </w:rPr>
        <w:footnoteReference w:id="15"/>
      </w:r>
      <w:r>
        <w:rPr>
          <w:rFonts w:ascii="Times New Roman" w:eastAsia="Times New Roman" w:hAnsi="Times New Roman" w:cs="Times New Roman"/>
          <w:sz w:val="24"/>
          <w:szCs w:val="24"/>
          <w:highlight w:val="white"/>
        </w:rPr>
        <w:t xml:space="preserve"> In order for a site to become an official World Heritage Site, it is required to go through a comparative analysis, an inconsistent process amongst other countries because the World Heritage Committee does not use a universal scale.</w:t>
      </w:r>
      <w:r>
        <w:rPr>
          <w:rFonts w:ascii="Times New Roman" w:eastAsia="Times New Roman" w:hAnsi="Times New Roman" w:cs="Times New Roman"/>
          <w:sz w:val="24"/>
          <w:szCs w:val="24"/>
          <w:highlight w:val="white"/>
          <w:vertAlign w:val="superscript"/>
        </w:rPr>
        <w:footnoteReference w:id="16"/>
      </w:r>
      <w:r>
        <w:rPr>
          <w:rFonts w:ascii="Times New Roman" w:eastAsia="Times New Roman" w:hAnsi="Times New Roman" w:cs="Times New Roman"/>
          <w:sz w:val="24"/>
          <w:szCs w:val="24"/>
          <w:highlight w:val="white"/>
        </w:rPr>
        <w:t xml:space="preserve">  Mexico has an extensive amount of tentatively listed sites, which all must go through the comparison process to be officiated, and are on average compared to 1.70 other sites, an average which pertains only to </w:t>
      </w:r>
      <w:r>
        <w:rPr>
          <w:rFonts w:ascii="Times New Roman" w:eastAsia="Times New Roman" w:hAnsi="Times New Roman" w:cs="Times New Roman"/>
          <w:sz w:val="24"/>
          <w:szCs w:val="24"/>
          <w:highlight w:val="white"/>
        </w:rPr>
        <w:lastRenderedPageBreak/>
        <w:t>Mexico and varies between each country.</w:t>
      </w:r>
      <w:r>
        <w:rPr>
          <w:rFonts w:ascii="Times New Roman" w:eastAsia="Times New Roman" w:hAnsi="Times New Roman" w:cs="Times New Roman"/>
          <w:sz w:val="24"/>
          <w:szCs w:val="24"/>
          <w:highlight w:val="white"/>
          <w:vertAlign w:val="superscript"/>
        </w:rPr>
        <w:footnoteReference w:id="17"/>
      </w:r>
      <w:r>
        <w:rPr>
          <w:rFonts w:ascii="Times New Roman" w:eastAsia="Times New Roman" w:hAnsi="Times New Roman" w:cs="Times New Roman"/>
          <w:sz w:val="24"/>
          <w:szCs w:val="24"/>
          <w:highlight w:val="white"/>
        </w:rPr>
        <w:t xml:space="preserve"> To protect its official World Heritage sites, including the Historic Center of Mexico City and Xochimilco, Mexico has passed several laws ensuring the preservation of the sites, such as the 1986 Federal Law on Monuments, A</w:t>
      </w:r>
      <w:hyperlink r:id="rId7">
        <w:r>
          <w:rPr>
            <w:rFonts w:ascii="Times New Roman" w:eastAsia="Times New Roman" w:hAnsi="Times New Roman" w:cs="Times New Roman"/>
            <w:sz w:val="24"/>
            <w:szCs w:val="24"/>
            <w:highlight w:val="white"/>
          </w:rPr>
          <w:t>rchaeological, Artistic, and Historical Zones</w:t>
        </w:r>
      </w:hyperlink>
      <w:r>
        <w:rPr>
          <w:rFonts w:ascii="Times New Roman" w:eastAsia="Times New Roman" w:hAnsi="Times New Roman" w:cs="Times New Roman"/>
          <w:sz w:val="24"/>
          <w:szCs w:val="24"/>
          <w:highlight w:val="white"/>
        </w:rPr>
        <w:t>, and more recently, the 2001 Federal Law on National Properties.</w:t>
      </w:r>
      <w:r>
        <w:rPr>
          <w:rFonts w:ascii="Times New Roman" w:eastAsia="Times New Roman" w:hAnsi="Times New Roman" w:cs="Times New Roman"/>
          <w:sz w:val="24"/>
          <w:szCs w:val="24"/>
          <w:highlight w:val="white"/>
          <w:vertAlign w:val="superscript"/>
        </w:rPr>
        <w:footnoteReference w:id="18"/>
      </w:r>
      <w:r>
        <w:rPr>
          <w:rFonts w:ascii="Times New Roman" w:eastAsia="Times New Roman" w:hAnsi="Times New Roman" w:cs="Times New Roman"/>
          <w:sz w:val="24"/>
          <w:szCs w:val="24"/>
          <w:highlight w:val="white"/>
        </w:rPr>
        <w:t xml:space="preserve"> Although these laws are beneficial to the preservation of the sites, they are dated and therefore, Mexico would look favorably upon the creation of new laws, both domestic and universal. </w:t>
      </w:r>
    </w:p>
    <w:p w:rsidR="00A61475" w:rsidRDefault="00A61475" w:rsidP="00A61475">
      <w:pPr>
        <w:spacing w:line="480" w:lineRule="auto"/>
      </w:pPr>
      <w:r>
        <w:rPr>
          <w:rFonts w:ascii="Times New Roman" w:eastAsia="Times New Roman" w:hAnsi="Times New Roman" w:cs="Times New Roman"/>
          <w:sz w:val="24"/>
          <w:szCs w:val="24"/>
          <w:highlight w:val="white"/>
        </w:rPr>
        <w:tab/>
        <w:t xml:space="preserve">The delegation of Mexico is an advocate for improving upon the selection process of World Heritage sites, as well as the preservation of these sites in both stable and unstable regions. To improve the selection process of the sites, Mexico would look favorably upon the creation of a universal system. Although all tentatively listed sites must go through a comparison process, the process itself is not uniform amongst all nations. Mexico suggests the implementation of a more strict list of criteria and comparison process, where every tentative site from any nation must undergo the exact same process. This universal system would result in a more systematic selection process, thus improving the effectiveness of the World Heritage Committee. To entice private interests to cooperate in the preservation of sites, Mexico suggests the implementation of a penalty tax on private companies which put cultural sites at risk, whether because they have built up surrounding areas or have released toxins within a certain proximity of the site. To maintain balance between private interests such as tourism and the preservation of sites, Mexico suggests limiting the number of visits to sites as to control the population at the site. For sites in unstable regions, Mexico suggests the creation of a law which would make the destruction of any World Heritage site illegal and heavily punishable. This would hopefully prevent any attacks on the sites, therefore preserving their cultural integrity. </w:t>
      </w:r>
    </w:p>
    <w:p w:rsidR="00A61475" w:rsidRDefault="00A61475" w:rsidP="00A61475">
      <w:pPr>
        <w:spacing w:line="480" w:lineRule="auto"/>
        <w:jc w:val="center"/>
      </w:pPr>
      <w:r>
        <w:rPr>
          <w:rFonts w:ascii="Times New Roman" w:eastAsia="Times New Roman" w:hAnsi="Times New Roman" w:cs="Times New Roman"/>
          <w:sz w:val="24"/>
          <w:szCs w:val="24"/>
          <w:highlight w:val="white"/>
        </w:rPr>
        <w:lastRenderedPageBreak/>
        <w:t>Works Cited</w:t>
      </w:r>
    </w:p>
    <w:p w:rsidR="00A61475" w:rsidRDefault="00A61475" w:rsidP="00A61475">
      <w:pPr>
        <w:spacing w:line="240" w:lineRule="auto"/>
        <w:ind w:hanging="450"/>
      </w:pPr>
      <w:r>
        <w:rPr>
          <w:rFonts w:ascii="Times New Roman" w:eastAsia="Times New Roman" w:hAnsi="Times New Roman" w:cs="Times New Roman"/>
          <w:sz w:val="24"/>
          <w:szCs w:val="24"/>
        </w:rPr>
        <w:t xml:space="preserve"> Centre, UNESCO World Heritage. "The Criteria for Selection." UNESCO World Heritage Centre -. Accessed November 03, 2016. http://whc.unesco.org/en/criteria/.</w:t>
      </w:r>
    </w:p>
    <w:p w:rsidR="00A61475" w:rsidRDefault="00A61475" w:rsidP="00A61475">
      <w:pPr>
        <w:spacing w:line="240" w:lineRule="auto"/>
        <w:ind w:hanging="450"/>
      </w:pPr>
    </w:p>
    <w:p w:rsidR="00A61475" w:rsidRDefault="00A61475" w:rsidP="00A61475">
      <w:pPr>
        <w:spacing w:line="240" w:lineRule="auto"/>
        <w:ind w:hanging="450"/>
      </w:pPr>
      <w:r>
        <w:rPr>
          <w:rFonts w:ascii="Times New Roman" w:eastAsia="Times New Roman" w:hAnsi="Times New Roman" w:cs="Times New Roman"/>
          <w:sz w:val="24"/>
          <w:szCs w:val="24"/>
        </w:rPr>
        <w:t xml:space="preserve"> Centre, UNESCO World Heritage. "Mexico - UNESCO World Heritage Centre." Mexico - UNESCO World Heritage Centre. Accessed November 03, 2016. http://whc.unesco.org/en/statesparties/mx.</w:t>
      </w:r>
    </w:p>
    <w:p w:rsidR="00A61475" w:rsidRDefault="00A61475" w:rsidP="00A61475">
      <w:pPr>
        <w:spacing w:line="240" w:lineRule="auto"/>
        <w:ind w:hanging="450"/>
      </w:pPr>
    </w:p>
    <w:p w:rsidR="00A61475" w:rsidRDefault="00A61475" w:rsidP="00A61475">
      <w:pPr>
        <w:spacing w:line="240" w:lineRule="auto"/>
        <w:ind w:hanging="450"/>
      </w:pPr>
      <w:r>
        <w:rPr>
          <w:rFonts w:ascii="Times New Roman" w:eastAsia="Times New Roman" w:hAnsi="Times New Roman" w:cs="Times New Roman"/>
          <w:sz w:val="24"/>
          <w:szCs w:val="24"/>
        </w:rPr>
        <w:t xml:space="preserve">Centre, UNESCO World Heritage. "World Heritage in Danger." UNESCO World Heritage Centre -. Accessed November 03, 2016. </w:t>
      </w:r>
      <w:hyperlink r:id="rId8">
        <w:r>
          <w:rPr>
            <w:rFonts w:ascii="Times New Roman" w:eastAsia="Times New Roman" w:hAnsi="Times New Roman" w:cs="Times New Roman"/>
            <w:sz w:val="24"/>
            <w:szCs w:val="24"/>
          </w:rPr>
          <w:t>http://whc.unesco.org/en/158/</w:t>
        </w:r>
      </w:hyperlink>
    </w:p>
    <w:p w:rsidR="00A61475" w:rsidRDefault="00A61475" w:rsidP="00A61475">
      <w:pPr>
        <w:spacing w:line="240" w:lineRule="auto"/>
        <w:ind w:hanging="450"/>
      </w:pPr>
    </w:p>
    <w:p w:rsidR="00A61475" w:rsidRDefault="00A61475" w:rsidP="00A61475">
      <w:pPr>
        <w:spacing w:line="240" w:lineRule="auto"/>
        <w:ind w:hanging="450"/>
      </w:pPr>
      <w:r>
        <w:rPr>
          <w:rFonts w:ascii="Times New Roman" w:eastAsia="Times New Roman" w:hAnsi="Times New Roman" w:cs="Times New Roman"/>
          <w:sz w:val="24"/>
          <w:szCs w:val="24"/>
        </w:rPr>
        <w:t>"Chapter 4 Deconstructing World Heritage Site Selection." Accessed November 3, 2016. http://www.rug.nl/research/portal/files/9836835/c4.pdf!null.</w:t>
      </w:r>
    </w:p>
    <w:p w:rsidR="00A61475" w:rsidRDefault="00A61475">
      <w:r>
        <w:br w:type="page"/>
      </w:r>
    </w:p>
    <w:p w:rsidR="00A61475" w:rsidRDefault="00A61475" w:rsidP="00A61475">
      <w:pPr>
        <w:spacing w:line="480" w:lineRule="auto"/>
      </w:pPr>
      <w:r>
        <w:rPr>
          <w:rFonts w:ascii="Times New Roman" w:eastAsia="Times New Roman" w:hAnsi="Times New Roman" w:cs="Times New Roman"/>
          <w:sz w:val="24"/>
          <w:szCs w:val="24"/>
          <w:highlight w:val="white"/>
        </w:rPr>
        <w:lastRenderedPageBreak/>
        <w:t>Mexico</w:t>
      </w:r>
      <w:r>
        <w:rPr>
          <w:noProof/>
        </w:rPr>
        <w:drawing>
          <wp:anchor distT="114300" distB="114300" distL="114300" distR="114300" simplePos="0" relativeHeight="251662336" behindDoc="0" locked="0" layoutInCell="0" hidden="0" allowOverlap="1" wp14:anchorId="2F23D8B2" wp14:editId="0D3CF285">
            <wp:simplePos x="0" y="0"/>
            <wp:positionH relativeFrom="margin">
              <wp:posOffset>4829175</wp:posOffset>
            </wp:positionH>
            <wp:positionV relativeFrom="paragraph">
              <wp:posOffset>0</wp:posOffset>
            </wp:positionV>
            <wp:extent cx="1652588" cy="945471"/>
            <wp:effectExtent l="0" t="0" r="0" b="0"/>
            <wp:wrapSquare wrapText="bothSides" distT="114300" distB="114300" distL="114300" distR="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52588" cy="945471"/>
                    </a:xfrm>
                    <a:prstGeom prst="rect">
                      <a:avLst/>
                    </a:prstGeom>
                    <a:ln/>
                  </pic:spPr>
                </pic:pic>
              </a:graphicData>
            </a:graphic>
          </wp:anchor>
        </w:drawing>
      </w:r>
    </w:p>
    <w:p w:rsidR="00A61475" w:rsidRDefault="00A61475" w:rsidP="00A61475">
      <w:pPr>
        <w:spacing w:line="480" w:lineRule="auto"/>
      </w:pPr>
      <w:r>
        <w:rPr>
          <w:rFonts w:ascii="Times New Roman" w:eastAsia="Times New Roman" w:hAnsi="Times New Roman" w:cs="Times New Roman"/>
          <w:sz w:val="24"/>
          <w:szCs w:val="24"/>
          <w:highlight w:val="white"/>
        </w:rPr>
        <w:t>Mia Zang</w:t>
      </w:r>
    </w:p>
    <w:p w:rsidR="00A61475" w:rsidRDefault="00A61475" w:rsidP="00A61475">
      <w:pPr>
        <w:spacing w:line="480" w:lineRule="auto"/>
      </w:pPr>
      <w:r>
        <w:rPr>
          <w:rFonts w:ascii="Times New Roman" w:eastAsia="Times New Roman" w:hAnsi="Times New Roman" w:cs="Times New Roman"/>
          <w:sz w:val="24"/>
          <w:szCs w:val="24"/>
          <w:highlight w:val="white"/>
        </w:rPr>
        <w:t>UNESCO</w:t>
      </w:r>
    </w:p>
    <w:p w:rsidR="00A61475" w:rsidRDefault="00A61475" w:rsidP="00A61475">
      <w:pPr>
        <w:spacing w:line="480" w:lineRule="auto"/>
        <w:ind w:firstLine="720"/>
        <w:jc w:val="center"/>
      </w:pPr>
      <w:r>
        <w:rPr>
          <w:rFonts w:ascii="Times New Roman" w:eastAsia="Times New Roman" w:hAnsi="Times New Roman" w:cs="Times New Roman"/>
          <w:sz w:val="24"/>
          <w:szCs w:val="24"/>
          <w:highlight w:val="white"/>
        </w:rPr>
        <w:t>Topic 3: Supporting and Accomplishing Education 2030</w:t>
      </w:r>
    </w:p>
    <w:p w:rsidR="00A61475" w:rsidRDefault="00A61475" w:rsidP="00A61475">
      <w:pPr>
        <w:spacing w:line="480" w:lineRule="auto"/>
        <w:ind w:firstLine="720"/>
      </w:pPr>
      <w:r>
        <w:rPr>
          <w:rFonts w:ascii="Times New Roman" w:eastAsia="Times New Roman" w:hAnsi="Times New Roman" w:cs="Times New Roman"/>
          <w:sz w:val="24"/>
          <w:szCs w:val="24"/>
          <w:highlight w:val="white"/>
        </w:rPr>
        <w:t xml:space="preserve">According to UNESCO, </w:t>
      </w:r>
      <w:r>
        <w:rPr>
          <w:rFonts w:ascii="Times New Roman" w:eastAsia="Times New Roman" w:hAnsi="Times New Roman" w:cs="Times New Roman"/>
          <w:sz w:val="24"/>
          <w:szCs w:val="24"/>
        </w:rPr>
        <w:t>“education is a human right for all throughout life and that access must be matched by quality.”</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The Education 2030 agenda has been supported by the Sustainment Development Goal 4, which states, “</w:t>
      </w:r>
      <w:r>
        <w:rPr>
          <w:rFonts w:ascii="Times New Roman" w:eastAsia="Times New Roman" w:hAnsi="Times New Roman" w:cs="Times New Roman"/>
          <w:sz w:val="24"/>
          <w:szCs w:val="24"/>
          <w:highlight w:val="white"/>
        </w:rPr>
        <w:t>Obtaining a quality education is the foundation to improving people’s lives and sustainable development.”</w:t>
      </w:r>
      <w:r>
        <w:rPr>
          <w:rFonts w:ascii="Times New Roman" w:eastAsia="Times New Roman" w:hAnsi="Times New Roman" w:cs="Times New Roman"/>
          <w:sz w:val="24"/>
          <w:szCs w:val="24"/>
          <w:highlight w:val="white"/>
          <w:vertAlign w:val="superscript"/>
        </w:rPr>
        <w:footnoteReference w:id="20"/>
      </w:r>
      <w:r>
        <w:rPr>
          <w:rFonts w:ascii="Times New Roman" w:eastAsia="Times New Roman" w:hAnsi="Times New Roman" w:cs="Times New Roman"/>
          <w:sz w:val="24"/>
          <w:szCs w:val="24"/>
          <w:highlight w:val="white"/>
        </w:rPr>
        <w:t xml:space="preserve"> While much progress has been made in this area, in undeveloped regions and for women and girls, there is still difficulty involved in making a quality education accessible.</w:t>
      </w:r>
      <w:r>
        <w:rPr>
          <w:rFonts w:ascii="Times New Roman" w:eastAsia="Times New Roman" w:hAnsi="Times New Roman" w:cs="Times New Roman"/>
          <w:sz w:val="24"/>
          <w:szCs w:val="24"/>
          <w:highlight w:val="white"/>
          <w:vertAlign w:val="superscript"/>
        </w:rPr>
        <w:footnoteReference w:id="21"/>
      </w:r>
      <w:r>
        <w:rPr>
          <w:rFonts w:ascii="Times New Roman" w:eastAsia="Times New Roman" w:hAnsi="Times New Roman" w:cs="Times New Roman"/>
          <w:sz w:val="24"/>
          <w:szCs w:val="24"/>
          <w:highlight w:val="white"/>
        </w:rPr>
        <w:t xml:space="preserve"> Through the Education 2030 Framework for Action, FFA, UNESCO aims to “Ensure inclusive and equitable quality education and promote lifelong learning opportunities for all.”</w:t>
      </w:r>
      <w:r>
        <w:rPr>
          <w:rFonts w:ascii="Times New Roman" w:eastAsia="Times New Roman" w:hAnsi="Times New Roman" w:cs="Times New Roman"/>
          <w:sz w:val="24"/>
          <w:szCs w:val="24"/>
          <w:highlight w:val="white"/>
          <w:vertAlign w:val="superscript"/>
        </w:rPr>
        <w:footnoteReference w:id="22"/>
      </w:r>
      <w:r>
        <w:rPr>
          <w:rFonts w:ascii="Times New Roman" w:eastAsia="Times New Roman" w:hAnsi="Times New Roman" w:cs="Times New Roman"/>
          <w:sz w:val="24"/>
          <w:szCs w:val="24"/>
          <w:highlight w:val="white"/>
        </w:rPr>
        <w:t xml:space="preserve"> However, a lack of universal standards in terms of education, as well as lack of funding has made it difficult to reach equal levels of education across the globe. </w:t>
      </w:r>
    </w:p>
    <w:p w:rsidR="00A61475" w:rsidRDefault="00A61475" w:rsidP="00A61475">
      <w:pPr>
        <w:spacing w:line="480" w:lineRule="auto"/>
      </w:pPr>
      <w:r>
        <w:rPr>
          <w:rFonts w:ascii="Times New Roman" w:eastAsia="Times New Roman" w:hAnsi="Times New Roman" w:cs="Times New Roman"/>
          <w:sz w:val="24"/>
          <w:szCs w:val="24"/>
          <w:highlight w:val="white"/>
        </w:rPr>
        <w:tab/>
        <w:t>Mexico’s educational system is divided into three categories: Educación Basica, or primary education, Educación Média Superior, or secondary education, and Educación Superior, or higher education.</w:t>
      </w:r>
      <w:r>
        <w:rPr>
          <w:rFonts w:ascii="Times New Roman" w:eastAsia="Times New Roman" w:hAnsi="Times New Roman" w:cs="Times New Roman"/>
          <w:sz w:val="24"/>
          <w:szCs w:val="24"/>
          <w:highlight w:val="white"/>
          <w:vertAlign w:val="superscript"/>
        </w:rPr>
        <w:footnoteReference w:id="23"/>
      </w:r>
      <w:r>
        <w:rPr>
          <w:rFonts w:ascii="Times New Roman" w:eastAsia="Times New Roman" w:hAnsi="Times New Roman" w:cs="Times New Roman"/>
          <w:sz w:val="24"/>
          <w:szCs w:val="24"/>
          <w:highlight w:val="white"/>
        </w:rPr>
        <w:t xml:space="preserve"> According to UNESCO, </w:t>
      </w:r>
      <w:hyperlink r:id="rId9">
        <w:r>
          <w:rPr>
            <w:rFonts w:ascii="Times New Roman" w:eastAsia="Times New Roman" w:hAnsi="Times New Roman" w:cs="Times New Roman"/>
            <w:sz w:val="24"/>
            <w:szCs w:val="24"/>
            <w:highlight w:val="white"/>
          </w:rPr>
          <w:t>gross enrollment ratio</w:t>
        </w:r>
      </w:hyperlink>
      <w:r>
        <w:rPr>
          <w:rFonts w:ascii="Times New Roman" w:eastAsia="Times New Roman" w:hAnsi="Times New Roman" w:cs="Times New Roman"/>
          <w:sz w:val="24"/>
          <w:szCs w:val="24"/>
          <w:highlight w:val="white"/>
        </w:rPr>
        <w:t xml:space="preserve"> at the secondary school level has increased from just 54 percent in 1991 to 90 percent in 2014.</w:t>
      </w:r>
      <w:r>
        <w:rPr>
          <w:rFonts w:ascii="Times New Roman" w:eastAsia="Times New Roman" w:hAnsi="Times New Roman" w:cs="Times New Roman"/>
          <w:sz w:val="24"/>
          <w:szCs w:val="24"/>
          <w:highlight w:val="white"/>
          <w:vertAlign w:val="superscript"/>
        </w:rPr>
        <w:footnoteReference w:id="24"/>
      </w:r>
      <w:r>
        <w:rPr>
          <w:rFonts w:ascii="Times New Roman" w:eastAsia="Times New Roman" w:hAnsi="Times New Roman" w:cs="Times New Roman"/>
          <w:sz w:val="24"/>
          <w:szCs w:val="24"/>
          <w:highlight w:val="white"/>
        </w:rPr>
        <w:t xml:space="preserve"> Education in Mexico is universal for anyone between the ages of 5 and 14, but even with a growth of education </w:t>
      </w:r>
      <w:r>
        <w:rPr>
          <w:rFonts w:ascii="Times New Roman" w:eastAsia="Times New Roman" w:hAnsi="Times New Roman" w:cs="Times New Roman"/>
          <w:sz w:val="24"/>
          <w:szCs w:val="24"/>
          <w:highlight w:val="white"/>
        </w:rPr>
        <w:lastRenderedPageBreak/>
        <w:t>enrollment, Mexico still has one of the smallest proportions of 15-19 year-olds enrolled in education (53%) among OECD and partner countries.</w:t>
      </w:r>
      <w:r>
        <w:rPr>
          <w:rFonts w:ascii="Times New Roman" w:eastAsia="Times New Roman" w:hAnsi="Times New Roman" w:cs="Times New Roman"/>
          <w:sz w:val="24"/>
          <w:szCs w:val="24"/>
          <w:highlight w:val="white"/>
          <w:vertAlign w:val="superscript"/>
        </w:rPr>
        <w:footnoteReference w:id="25"/>
      </w:r>
      <w:r>
        <w:rPr>
          <w:rFonts w:ascii="Times New Roman" w:eastAsia="Times New Roman" w:hAnsi="Times New Roman" w:cs="Times New Roman"/>
          <w:sz w:val="24"/>
          <w:szCs w:val="24"/>
          <w:highlight w:val="white"/>
        </w:rPr>
        <w:t xml:space="preserve"> Mexico is working to further increase enrollment through the PRONABES Program, which aims at making tertiary education more accessible through the creation of scholarship programs, the redefinition of criteria to enroll, and the encouragement of pursuing a tertiary level of education.</w:t>
      </w:r>
      <w:r>
        <w:rPr>
          <w:rFonts w:ascii="Times New Roman" w:eastAsia="Times New Roman" w:hAnsi="Times New Roman" w:cs="Times New Roman"/>
          <w:sz w:val="24"/>
          <w:szCs w:val="24"/>
          <w:highlight w:val="white"/>
          <w:vertAlign w:val="superscript"/>
        </w:rPr>
        <w:footnoteReference w:id="26"/>
      </w:r>
      <w:r>
        <w:rPr>
          <w:rFonts w:ascii="Times New Roman" w:eastAsia="Times New Roman" w:hAnsi="Times New Roman" w:cs="Times New Roman"/>
          <w:sz w:val="24"/>
          <w:szCs w:val="24"/>
          <w:highlight w:val="white"/>
        </w:rPr>
        <w:t xml:space="preserve"> In 2011, Mexico spent 5.15% of its GDP on education, which has remained pretty stable since for the past several years.</w:t>
      </w:r>
      <w:r>
        <w:rPr>
          <w:rFonts w:ascii="Times New Roman" w:eastAsia="Times New Roman" w:hAnsi="Times New Roman" w:cs="Times New Roman"/>
          <w:sz w:val="24"/>
          <w:szCs w:val="24"/>
          <w:highlight w:val="white"/>
          <w:vertAlign w:val="superscript"/>
        </w:rPr>
        <w:footnoteReference w:id="27"/>
      </w:r>
      <w:r>
        <w:rPr>
          <w:rFonts w:ascii="Times New Roman" w:eastAsia="Times New Roman" w:hAnsi="Times New Roman" w:cs="Times New Roman"/>
          <w:sz w:val="24"/>
          <w:szCs w:val="24"/>
          <w:highlight w:val="white"/>
        </w:rPr>
        <w:t xml:space="preserve">At this time, Mexican President Nieto is working to still increase in quality and accessibility of education, especially in less developed regions of the nations. </w:t>
      </w:r>
    </w:p>
    <w:p w:rsidR="00A61475" w:rsidRDefault="00A61475" w:rsidP="00A61475">
      <w:pPr>
        <w:spacing w:line="480" w:lineRule="auto"/>
      </w:pPr>
      <w:r>
        <w:rPr>
          <w:rFonts w:ascii="Times New Roman" w:eastAsia="Times New Roman" w:hAnsi="Times New Roman" w:cs="Times New Roman"/>
          <w:sz w:val="24"/>
          <w:szCs w:val="24"/>
          <w:highlight w:val="white"/>
        </w:rPr>
        <w:tab/>
        <w:t xml:space="preserve">Mexico is a strong advocate for the improvement and enforcement of Education 2030. To create a bigger impact on the achievement of Education 2030, Mexico supports the idea of the contribution of developing countries contributing to the program through working together with international organizations and NGOs to make the effects of Education 2030 more present in their nations. With the aid of organizations such as UNDP and ILO, developing nations can work to improve the quality, equality, and accessibility of education in all regions. Mexico believes that the most effective way to provide quality education to all while still maintaining sovereignty would be to devise a specific level of standards which all countries must abide to in terms of the core curriculum, amount of required education and the accessibility of education to all, but to leave teaching methods and specifics of each curriculum to each individual nation in order to preserve sovereignty. Mexico would advocate to send international organizations with an education focus into underdeveloped countries to promote the standard education in order to </w:t>
      </w:r>
      <w:r>
        <w:rPr>
          <w:rFonts w:ascii="Times New Roman" w:eastAsia="Times New Roman" w:hAnsi="Times New Roman" w:cs="Times New Roman"/>
          <w:sz w:val="24"/>
          <w:szCs w:val="24"/>
          <w:highlight w:val="white"/>
        </w:rPr>
        <w:lastRenderedPageBreak/>
        <w:t>ensure that the criteria is being followed in nations which struggle to maintain an equal education of quality. Furthermore, Mexico is a strong advocate of making tertiary levels of education more accessible to all citizens, especially in more developed nations such as itself. As such, Mexico does believe in the creation of an international standard for primary and secondary levels of education which will not infringe upon a nation’s sovereignty, which all countries should be required to meet. Mexico looks forward to working with other nations to improve upon the universal level of education.</w:t>
      </w:r>
    </w:p>
    <w:p w:rsidR="00A61475" w:rsidRDefault="00A61475" w:rsidP="00A61475">
      <w:r>
        <w:br w:type="page"/>
      </w:r>
    </w:p>
    <w:p w:rsidR="00A61475" w:rsidRDefault="00A61475" w:rsidP="00A61475">
      <w:pPr>
        <w:spacing w:line="480" w:lineRule="auto"/>
      </w:pPr>
    </w:p>
    <w:p w:rsidR="00A61475" w:rsidRDefault="00A61475" w:rsidP="00A61475">
      <w:pPr>
        <w:spacing w:line="480" w:lineRule="auto"/>
        <w:jc w:val="center"/>
      </w:pPr>
      <w:r>
        <w:rPr>
          <w:rFonts w:ascii="Times New Roman" w:eastAsia="Times New Roman" w:hAnsi="Times New Roman" w:cs="Times New Roman"/>
          <w:sz w:val="24"/>
          <w:szCs w:val="24"/>
          <w:highlight w:val="white"/>
        </w:rPr>
        <w:t>Works Cited</w:t>
      </w:r>
    </w:p>
    <w:p w:rsidR="00A61475" w:rsidRDefault="00A61475" w:rsidP="00A61475">
      <w:pPr>
        <w:spacing w:line="240" w:lineRule="auto"/>
        <w:ind w:hanging="630"/>
      </w:pPr>
      <w:r>
        <w:rPr>
          <w:rFonts w:ascii="Times New Roman" w:eastAsia="Times New Roman" w:hAnsi="Times New Roman" w:cs="Times New Roman"/>
          <w:sz w:val="24"/>
          <w:szCs w:val="24"/>
        </w:rPr>
        <w:t>“And Incheon Declaration Framework for Action." Accessed November 5, 2016. http://unesdoc.unesco.org/images/0024/002456/245656e.pdf.</w:t>
      </w:r>
    </w:p>
    <w:p w:rsidR="00A61475" w:rsidRDefault="00A61475" w:rsidP="00A61475">
      <w:pPr>
        <w:spacing w:line="240" w:lineRule="auto"/>
        <w:ind w:hanging="630"/>
      </w:pPr>
    </w:p>
    <w:p w:rsidR="00A61475" w:rsidRDefault="00A61475" w:rsidP="00A61475">
      <w:pPr>
        <w:spacing w:line="240" w:lineRule="auto"/>
        <w:ind w:hanging="630"/>
      </w:pPr>
      <w:r>
        <w:rPr>
          <w:rFonts w:ascii="Times New Roman" w:eastAsia="Times New Roman" w:hAnsi="Times New Roman" w:cs="Times New Roman"/>
          <w:sz w:val="24"/>
          <w:szCs w:val="24"/>
        </w:rPr>
        <w:t>Education for the 21st Century." UNESCO. 2016. Accessed November 05, 2016. http://en.unesco.org/themes/education-21st-century.</w:t>
      </w:r>
    </w:p>
    <w:p w:rsidR="00A61475" w:rsidRDefault="00A61475" w:rsidP="00A61475">
      <w:pPr>
        <w:spacing w:line="240" w:lineRule="auto"/>
        <w:ind w:hanging="630"/>
      </w:pPr>
    </w:p>
    <w:p w:rsidR="00A61475" w:rsidRDefault="00A61475" w:rsidP="00A61475">
      <w:pPr>
        <w:spacing w:line="240" w:lineRule="auto"/>
        <w:ind w:hanging="630"/>
      </w:pPr>
      <w:r>
        <w:rPr>
          <w:rFonts w:ascii="Times New Roman" w:eastAsia="Times New Roman" w:hAnsi="Times New Roman" w:cs="Times New Roman"/>
          <w:sz w:val="24"/>
          <w:szCs w:val="24"/>
        </w:rPr>
        <w:t>Education - United Nations Sustainable Development." UN News Center. Accessed November 05, 2016. http://www.un.org/sustainabledevelopment/education/.</w:t>
      </w:r>
    </w:p>
    <w:p w:rsidR="00A61475" w:rsidRDefault="00A61475" w:rsidP="00A61475">
      <w:pPr>
        <w:spacing w:line="240" w:lineRule="auto"/>
        <w:ind w:hanging="630"/>
      </w:pPr>
    </w:p>
    <w:p w:rsidR="00A61475" w:rsidRDefault="00A61475" w:rsidP="00A61475">
      <w:pPr>
        <w:spacing w:line="240" w:lineRule="auto"/>
        <w:ind w:hanging="630"/>
      </w:pPr>
      <w:r>
        <w:rPr>
          <w:rFonts w:ascii="Times New Roman" w:eastAsia="Times New Roman" w:hAnsi="Times New Roman" w:cs="Times New Roman"/>
          <w:sz w:val="24"/>
          <w:szCs w:val="24"/>
        </w:rPr>
        <w:t>"Mexico Increases Access to Tertiary Education." World Bank. Accessed November 05, 2016. http://www.worldbank.org/en/results/2013/07/04/mexico-increases-access-to-tertiary-education.</w:t>
      </w:r>
    </w:p>
    <w:p w:rsidR="00A61475" w:rsidRDefault="00A61475" w:rsidP="00A61475">
      <w:pPr>
        <w:spacing w:line="240" w:lineRule="auto"/>
        <w:ind w:hanging="630"/>
      </w:pPr>
    </w:p>
    <w:p w:rsidR="00A61475" w:rsidRDefault="00A61475" w:rsidP="00A61475">
      <w:pPr>
        <w:spacing w:line="240" w:lineRule="auto"/>
        <w:ind w:hanging="630"/>
      </w:pPr>
      <w:r>
        <w:rPr>
          <w:rFonts w:ascii="Times New Roman" w:eastAsia="Times New Roman" w:hAnsi="Times New Roman" w:cs="Times New Roman"/>
          <w:sz w:val="24"/>
          <w:szCs w:val="24"/>
        </w:rPr>
        <w:t xml:space="preserve">"Mexico." OECD. Accessed November 05, 2016. </w:t>
      </w:r>
      <w:hyperlink r:id="rId10">
        <w:r>
          <w:rPr>
            <w:rFonts w:ascii="Times New Roman" w:eastAsia="Times New Roman" w:hAnsi="Times New Roman" w:cs="Times New Roman"/>
            <w:sz w:val="24"/>
            <w:szCs w:val="24"/>
          </w:rPr>
          <w:t>https://www.oecd.org/edu/Mexico-EAG2014-Country-Note.pdf</w:t>
        </w:r>
      </w:hyperlink>
    </w:p>
    <w:p w:rsidR="00A61475" w:rsidRDefault="00A61475" w:rsidP="00A61475">
      <w:pPr>
        <w:spacing w:line="240" w:lineRule="auto"/>
        <w:ind w:hanging="630"/>
      </w:pPr>
    </w:p>
    <w:p w:rsidR="00A61475" w:rsidRDefault="00A61475" w:rsidP="00A61475">
      <w:pPr>
        <w:spacing w:line="240" w:lineRule="auto"/>
        <w:ind w:hanging="630"/>
      </w:pPr>
      <w:r>
        <w:rPr>
          <w:rFonts w:ascii="Times New Roman" w:eastAsia="Times New Roman" w:hAnsi="Times New Roman" w:cs="Times New Roman"/>
          <w:sz w:val="24"/>
          <w:szCs w:val="24"/>
        </w:rPr>
        <w:t>Uis. "Education : Expenditure on Education as % of GDP (from Government Sources)." Education : Expenditure on Education as % of GDP (from Government Sources). Accessed November 05, 2016. http://data.uis.unesco.org/?queryid=181.</w:t>
      </w:r>
    </w:p>
    <w:p w:rsidR="00A61475" w:rsidRDefault="00A61475" w:rsidP="00A61475">
      <w:pPr>
        <w:spacing w:line="240" w:lineRule="auto"/>
        <w:ind w:hanging="630"/>
      </w:pPr>
    </w:p>
    <w:p w:rsidR="00A61475" w:rsidRDefault="00A61475" w:rsidP="00A61475">
      <w:pPr>
        <w:spacing w:line="240" w:lineRule="auto"/>
        <w:ind w:hanging="630"/>
      </w:pPr>
      <w:r>
        <w:rPr>
          <w:rFonts w:ascii="Times New Roman" w:eastAsia="Times New Roman" w:hAnsi="Times New Roman" w:cs="Times New Roman"/>
          <w:sz w:val="24"/>
          <w:szCs w:val="24"/>
        </w:rPr>
        <w:t>wespicks. "Education in Mexico ." WENR. Accessed November 05, 2016. http://wenr.wes.org/2016/08/education-in-mexico.</w:t>
      </w:r>
    </w:p>
    <w:p w:rsidR="00A61475" w:rsidRDefault="00A61475" w:rsidP="00A61475">
      <w:pPr>
        <w:spacing w:line="480" w:lineRule="auto"/>
      </w:pPr>
    </w:p>
    <w:p w:rsidR="00B72B73" w:rsidRDefault="00B72B73">
      <w:pPr>
        <w:spacing w:line="240" w:lineRule="auto"/>
        <w:ind w:hanging="630"/>
      </w:pPr>
      <w:bookmarkStart w:id="0" w:name="_GoBack"/>
      <w:bookmarkEnd w:id="0"/>
    </w:p>
    <w:p w:rsidR="00B72B73" w:rsidRDefault="00B72B73">
      <w:pPr>
        <w:spacing w:line="480" w:lineRule="auto"/>
      </w:pPr>
    </w:p>
    <w:p w:rsidR="00B72B73" w:rsidRDefault="00B72B73">
      <w:pPr>
        <w:spacing w:line="480" w:lineRule="auto"/>
      </w:pPr>
    </w:p>
    <w:p w:rsidR="00B72B73" w:rsidRDefault="00B72B73">
      <w:pPr>
        <w:spacing w:line="480" w:lineRule="auto"/>
      </w:pPr>
    </w:p>
    <w:sectPr w:rsidR="00B72B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240" w:rsidRDefault="006C5240">
      <w:pPr>
        <w:spacing w:line="240" w:lineRule="auto"/>
      </w:pPr>
      <w:r>
        <w:separator/>
      </w:r>
    </w:p>
  </w:endnote>
  <w:endnote w:type="continuationSeparator" w:id="0">
    <w:p w:rsidR="006C5240" w:rsidRDefault="006C5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240" w:rsidRDefault="006C5240">
      <w:pPr>
        <w:spacing w:line="240" w:lineRule="auto"/>
      </w:pPr>
      <w:r>
        <w:separator/>
      </w:r>
    </w:p>
  </w:footnote>
  <w:footnote w:type="continuationSeparator" w:id="0">
    <w:p w:rsidR="006C5240" w:rsidRDefault="006C5240">
      <w:pPr>
        <w:spacing w:line="240" w:lineRule="auto"/>
      </w:pPr>
      <w:r>
        <w:continuationSeparator/>
      </w:r>
    </w:p>
  </w:footnote>
  <w:footnote w:id="1">
    <w:p w:rsidR="00B72B73" w:rsidRDefault="006C5240">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 xml:space="preserve">Lewis, Maureen. "Governance in Education: Raising Performance." </w:t>
      </w:r>
      <w:r>
        <w:rPr>
          <w:rFonts w:ascii="Times New Roman" w:eastAsia="Times New Roman" w:hAnsi="Times New Roman" w:cs="Times New Roman"/>
          <w:i/>
          <w:color w:val="323232"/>
          <w:sz w:val="20"/>
          <w:szCs w:val="20"/>
        </w:rPr>
        <w:t>World Bank</w:t>
      </w:r>
      <w:r>
        <w:rPr>
          <w:rFonts w:ascii="Times New Roman" w:eastAsia="Times New Roman" w:hAnsi="Times New Roman" w:cs="Times New Roman"/>
          <w:color w:val="323232"/>
          <w:sz w:val="20"/>
          <w:szCs w:val="20"/>
        </w:rPr>
        <w:t>, December 22, 2009. Accessed October 31, 2016.</w:t>
      </w:r>
    </w:p>
  </w:footnote>
  <w:footnote w:id="2">
    <w:p w:rsidR="00B72B73" w:rsidRDefault="006C5240">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"Convention against Corruption (CAC)” United Nations Office on Drugs and Crime. Accessed May 31, 2016. https://www.unodc.org/unodc/en/treaties/CAC/. 9 </w:t>
      </w:r>
    </w:p>
  </w:footnote>
  <w:footnote w:id="3">
    <w:p w:rsidR="00B72B73" w:rsidRDefault="006C5240">
      <w:pPr>
        <w:spacing w:line="240" w:lineRule="auto"/>
      </w:pPr>
      <w:r>
        <w:rPr>
          <w:vertAlign w:val="superscript"/>
        </w:rPr>
        <w:footnoteRef/>
      </w:r>
      <w:r>
        <w:rPr>
          <w:sz w:val="20"/>
          <w:szCs w:val="20"/>
        </w:rPr>
        <w:t xml:space="preserve"> </w:t>
      </w:r>
      <w:r>
        <w:rPr>
          <w:rFonts w:ascii="Times New Roman" w:eastAsia="Times New Roman" w:hAnsi="Times New Roman" w:cs="Times New Roman"/>
          <w:i/>
          <w:sz w:val="20"/>
          <w:szCs w:val="20"/>
        </w:rPr>
        <w:t>Ibid</w:t>
      </w:r>
    </w:p>
  </w:footnote>
  <w:footnote w:id="4">
    <w:p w:rsidR="00B72B73" w:rsidRDefault="006C5240">
      <w:pPr>
        <w:spacing w:line="240" w:lineRule="auto"/>
      </w:pPr>
      <w:r>
        <w:rPr>
          <w:vertAlign w:val="superscript"/>
        </w:rPr>
        <w:footnoteRef/>
      </w:r>
      <w:r>
        <w:rPr>
          <w:rFonts w:ascii="Times New Roman" w:eastAsia="Times New Roman" w:hAnsi="Times New Roman" w:cs="Times New Roman"/>
          <w:color w:val="323232"/>
          <w:sz w:val="20"/>
          <w:szCs w:val="20"/>
        </w:rPr>
        <w:t>E.V., Transparency International. "Thank You for Donating To Transparency International!"</w:t>
      </w:r>
      <w:r>
        <w:rPr>
          <w:rFonts w:ascii="Times New Roman" w:eastAsia="Times New Roman" w:hAnsi="Times New Roman" w:cs="Times New Roman"/>
          <w:color w:val="323232"/>
          <w:sz w:val="20"/>
          <w:szCs w:val="20"/>
        </w:rPr>
        <w:t xml:space="preserve"> Transparency International. Accessed October 31, 2016. http://www.transparency.org/country.</w:t>
      </w:r>
    </w:p>
  </w:footnote>
  <w:footnote w:id="5">
    <w:p w:rsidR="00B72B73" w:rsidRDefault="006C5240">
      <w:pPr>
        <w:spacing w:line="240" w:lineRule="auto"/>
      </w:pPr>
      <w:r>
        <w:rPr>
          <w:vertAlign w:val="superscript"/>
        </w:rPr>
        <w:footnoteRef/>
      </w:r>
      <w:r>
        <w:rPr>
          <w:rFonts w:ascii="Times New Roman" w:eastAsia="Times New Roman" w:hAnsi="Times New Roman" w:cs="Times New Roman"/>
          <w:color w:val="323232"/>
          <w:sz w:val="20"/>
          <w:szCs w:val="20"/>
        </w:rPr>
        <w:t>Philip, George, Jorg Faust, and Martin Thunert. "SGI Indicators Sustainable Governance." 2015. Accessed October 31, 2016. http://www.sgi-network.org/docs/2015/cou</w:t>
      </w:r>
      <w:r>
        <w:rPr>
          <w:rFonts w:ascii="Times New Roman" w:eastAsia="Times New Roman" w:hAnsi="Times New Roman" w:cs="Times New Roman"/>
          <w:color w:val="323232"/>
          <w:sz w:val="20"/>
          <w:szCs w:val="20"/>
        </w:rPr>
        <w:t>ntry/SGI2015_Mexico.pdf.</w:t>
      </w:r>
    </w:p>
  </w:footnote>
  <w:footnote w:id="6">
    <w:p w:rsidR="00B72B73" w:rsidRDefault="006C5240">
      <w:pPr>
        <w:spacing w:line="240" w:lineRule="auto"/>
      </w:pPr>
      <w:r>
        <w:rPr>
          <w:vertAlign w:val="superscript"/>
        </w:rPr>
        <w:footnoteRef/>
      </w:r>
      <w:r>
        <w:rPr>
          <w:rFonts w:ascii="Times New Roman" w:eastAsia="Times New Roman" w:hAnsi="Times New Roman" w:cs="Times New Roman"/>
          <w:i/>
          <w:sz w:val="20"/>
          <w:szCs w:val="20"/>
        </w:rPr>
        <w:t>Ibid</w:t>
      </w:r>
    </w:p>
  </w:footnote>
  <w:footnote w:id="7">
    <w:p w:rsidR="00B72B73" w:rsidRDefault="006C5240">
      <w:pPr>
        <w:spacing w:line="240" w:lineRule="auto"/>
      </w:pPr>
      <w:r>
        <w:rPr>
          <w:vertAlign w:val="superscript"/>
        </w:rPr>
        <w:footnoteRef/>
      </w:r>
      <w:r>
        <w:rPr>
          <w:rFonts w:ascii="Times New Roman" w:eastAsia="Times New Roman" w:hAnsi="Times New Roman" w:cs="Times New Roman"/>
          <w:i/>
          <w:sz w:val="20"/>
          <w:szCs w:val="20"/>
        </w:rPr>
        <w:t>Ibid</w:t>
      </w:r>
    </w:p>
  </w:footnote>
  <w:footnote w:id="8">
    <w:p w:rsidR="00B72B73" w:rsidRDefault="006C5240">
      <w:pPr>
        <w:spacing w:line="240" w:lineRule="auto"/>
      </w:pPr>
      <w:r>
        <w:rPr>
          <w:vertAlign w:val="superscript"/>
        </w:rPr>
        <w:footnoteRef/>
      </w:r>
      <w:r>
        <w:rPr>
          <w:rFonts w:ascii="Times New Roman" w:eastAsia="Times New Roman" w:hAnsi="Times New Roman" w:cs="Times New Roman"/>
          <w:color w:val="323232"/>
          <w:sz w:val="20"/>
          <w:szCs w:val="20"/>
        </w:rPr>
        <w:t>News, BBC. "Mexico's Pena Nieto Enacts Major Education Reform." BBC News. February 26, 2013. Accessed October 31, 2016. http://www.bbc.com/news/world-latin-america-21582629.</w:t>
      </w:r>
    </w:p>
  </w:footnote>
  <w:footnote w:id="9">
    <w:p w:rsidR="00B72B73" w:rsidRDefault="006C5240">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Zimmermann@stlouisfed.org, and World Bank.</w:t>
      </w:r>
      <w:r>
        <w:rPr>
          <w:rFonts w:ascii="Times New Roman" w:eastAsia="Times New Roman" w:hAnsi="Times New Roman" w:cs="Times New Roman"/>
          <w:color w:val="323232"/>
          <w:sz w:val="20"/>
          <w:szCs w:val="20"/>
        </w:rPr>
        <w:t xml:space="preserve"> "Democratic Governance in Mexico : Beyond State Capture and Social Polarization." Democratic Governance in Mexico : Beyond State Capture and Social Polarization. Accessed October 31, 2016. https://ideas.repec.org/p/wbk/wboper/7689.html.</w:t>
      </w:r>
    </w:p>
  </w:footnote>
  <w:footnote w:id="10">
    <w:p w:rsidR="00B72B73" w:rsidRDefault="006C5240">
      <w:pPr>
        <w:spacing w:line="240" w:lineRule="auto"/>
      </w:pPr>
      <w:r>
        <w:rPr>
          <w:vertAlign w:val="superscript"/>
        </w:rPr>
        <w:footnoteRef/>
      </w:r>
      <w:r>
        <w:rPr>
          <w:rFonts w:ascii="Times New Roman" w:eastAsia="Times New Roman" w:hAnsi="Times New Roman" w:cs="Times New Roman"/>
          <w:color w:val="323232"/>
          <w:sz w:val="20"/>
          <w:szCs w:val="20"/>
        </w:rPr>
        <w:t>wespi</w:t>
      </w:r>
      <w:r>
        <w:rPr>
          <w:rFonts w:ascii="Times New Roman" w:eastAsia="Times New Roman" w:hAnsi="Times New Roman" w:cs="Times New Roman"/>
          <w:color w:val="323232"/>
          <w:sz w:val="20"/>
          <w:szCs w:val="20"/>
        </w:rPr>
        <w:t>cks. "Education in Mexico ." WENR. Accessed October 31, 2016. http://wenr.wes.org/2016/08/education-in-mexico.</w:t>
      </w:r>
    </w:p>
  </w:footnote>
  <w:footnote w:id="11">
    <w:p w:rsidR="00B72B73" w:rsidRDefault="006C5240">
      <w:pPr>
        <w:spacing w:line="240" w:lineRule="auto"/>
      </w:pPr>
      <w:r>
        <w:rPr>
          <w:vertAlign w:val="superscript"/>
        </w:rPr>
        <w:footnoteRef/>
      </w:r>
      <w:r>
        <w:rPr>
          <w:rFonts w:ascii="Times New Roman" w:eastAsia="Times New Roman" w:hAnsi="Times New Roman" w:cs="Times New Roman"/>
          <w:sz w:val="20"/>
          <w:szCs w:val="20"/>
        </w:rPr>
        <w:t xml:space="preserve"> Zimmerman</w:t>
      </w:r>
    </w:p>
  </w:footnote>
  <w:footnote w:id="12">
    <w:p w:rsidR="00A61475" w:rsidRDefault="00A61475" w:rsidP="00A61475">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Centre, UNESCO World Heritage. "The Criteria for Selection." UNESCO World Heritage Centre -. Accessed November 03, 2016. http://whc.unesco.org/en/criteria/.</w:t>
      </w:r>
    </w:p>
  </w:footnote>
  <w:footnote w:id="13">
    <w:p w:rsidR="00A61475" w:rsidRDefault="00A61475" w:rsidP="00A61475">
      <w:pPr>
        <w:spacing w:line="240" w:lineRule="auto"/>
      </w:pPr>
      <w:r>
        <w:rPr>
          <w:vertAlign w:val="superscript"/>
        </w:rPr>
        <w:footnoteRef/>
      </w:r>
      <w:r>
        <w:rPr>
          <w:rFonts w:ascii="Times New Roman" w:eastAsia="Times New Roman" w:hAnsi="Times New Roman" w:cs="Times New Roman"/>
          <w:color w:val="323232"/>
          <w:sz w:val="20"/>
          <w:szCs w:val="20"/>
        </w:rPr>
        <w:t>Centre, UNESCO World Heritage. "World Heritage in Danger." UNESCO World Heritage Centre -. Accessed November 03, 2016. http://whc.unesco.org/en/158/.</w:t>
      </w:r>
    </w:p>
  </w:footnote>
  <w:footnote w:id="14">
    <w:p w:rsidR="00A61475" w:rsidRDefault="00A61475" w:rsidP="00A61475">
      <w:pPr>
        <w:spacing w:line="240" w:lineRule="auto"/>
      </w:pPr>
      <w:r>
        <w:rPr>
          <w:vertAlign w:val="superscript"/>
        </w:rPr>
        <w:footnoteRef/>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Ibid</w:t>
      </w:r>
    </w:p>
  </w:footnote>
  <w:footnote w:id="15">
    <w:p w:rsidR="00A61475" w:rsidRDefault="00A61475" w:rsidP="00A61475">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Centre, UNESCO World Heritage. "Mexico - UNESCO World Heritage Centre." Mexico - UNESCO World Heritage Centre. Accessed November 03, 2016. http://whc.unesco.org/en/statesparties/mx.</w:t>
      </w:r>
    </w:p>
  </w:footnote>
  <w:footnote w:id="16">
    <w:p w:rsidR="00A61475" w:rsidRDefault="00A61475" w:rsidP="00A61475">
      <w:pPr>
        <w:spacing w:line="240" w:lineRule="auto"/>
      </w:pPr>
      <w:r>
        <w:rPr>
          <w:vertAlign w:val="superscript"/>
        </w:rPr>
        <w:footnoteRef/>
      </w:r>
      <w:r>
        <w:rPr>
          <w:rFonts w:ascii="Times New Roman" w:eastAsia="Times New Roman" w:hAnsi="Times New Roman" w:cs="Times New Roman"/>
          <w:color w:val="323232"/>
          <w:sz w:val="20"/>
          <w:szCs w:val="20"/>
        </w:rPr>
        <w:t>"Chapter 4 Deconstructing World Heritage Site Selection." Accessed November 3, 2016. http://www.rug.nl/research/portal/files/9836835/c4.pdf!null.</w:t>
      </w:r>
    </w:p>
  </w:footnote>
  <w:footnote w:id="17">
    <w:p w:rsidR="00A61475" w:rsidRDefault="00A61475" w:rsidP="00A61475">
      <w:pPr>
        <w:spacing w:line="240" w:lineRule="auto"/>
      </w:pPr>
      <w:r>
        <w:rPr>
          <w:vertAlign w:val="superscript"/>
        </w:rPr>
        <w:footnoteRef/>
      </w:r>
      <w:r>
        <w:rPr>
          <w:rFonts w:ascii="Times New Roman" w:eastAsia="Times New Roman" w:hAnsi="Times New Roman" w:cs="Times New Roman"/>
          <w:i/>
          <w:sz w:val="20"/>
          <w:szCs w:val="20"/>
        </w:rPr>
        <w:t xml:space="preserve"> Ibid</w:t>
      </w:r>
    </w:p>
  </w:footnote>
  <w:footnote w:id="18">
    <w:p w:rsidR="00A61475" w:rsidRDefault="00A61475" w:rsidP="00A61475">
      <w:pPr>
        <w:spacing w:line="240" w:lineRule="auto"/>
      </w:pPr>
      <w:r>
        <w:rPr>
          <w:vertAlign w:val="superscript"/>
        </w:rPr>
        <w:footnoteRef/>
      </w:r>
      <w:r>
        <w:rPr>
          <w:rFonts w:ascii="Times New Roman" w:eastAsia="Times New Roman" w:hAnsi="Times New Roman" w:cs="Times New Roman"/>
          <w:color w:val="323232"/>
          <w:sz w:val="20"/>
          <w:szCs w:val="20"/>
        </w:rPr>
        <w:t>Centre, UNESCO World Heritage. "Mexico - UNESCO World Heritage Centre." Mexico - UNESCO World Heritage Centre. Accessed November 03, 2016. http://whc.unesco.org/en/statesparties/mx/laws/.</w:t>
      </w:r>
    </w:p>
  </w:footnote>
  <w:footnote w:id="19">
    <w:p w:rsidR="00A61475" w:rsidRDefault="00A61475" w:rsidP="00A61475">
      <w:pPr>
        <w:spacing w:line="240" w:lineRule="auto"/>
      </w:pPr>
      <w:r>
        <w:rPr>
          <w:vertAlign w:val="superscript"/>
        </w:rPr>
        <w:footnoteRef/>
      </w:r>
      <w:r>
        <w:rPr>
          <w:rFonts w:ascii="Times New Roman" w:eastAsia="Times New Roman" w:hAnsi="Times New Roman" w:cs="Times New Roman"/>
          <w:color w:val="323232"/>
          <w:sz w:val="20"/>
          <w:szCs w:val="20"/>
        </w:rPr>
        <w:t>"Education for the 21st Century." UNESCO. 2016. Accessed November 05, 2016. http://en.unesco.org/themes/education-21st-century.</w:t>
      </w:r>
    </w:p>
  </w:footnote>
  <w:footnote w:id="20">
    <w:p w:rsidR="00A61475" w:rsidRDefault="00A61475" w:rsidP="00A61475">
      <w:pPr>
        <w:spacing w:line="240" w:lineRule="auto"/>
      </w:pPr>
      <w:r>
        <w:rPr>
          <w:vertAlign w:val="superscript"/>
        </w:rPr>
        <w:footnoteRef/>
      </w:r>
      <w:r>
        <w:rPr>
          <w:rFonts w:ascii="Times New Roman" w:eastAsia="Times New Roman" w:hAnsi="Times New Roman" w:cs="Times New Roman"/>
          <w:color w:val="323232"/>
          <w:sz w:val="20"/>
          <w:szCs w:val="20"/>
        </w:rPr>
        <w:t>"Education - United Nations Sustainable Development." UN News Center. Accessed November 05, 2016. http://www.un.org/sustainabledevelopment/education/.</w:t>
      </w:r>
    </w:p>
  </w:footnote>
  <w:footnote w:id="21">
    <w:p w:rsidR="00A61475" w:rsidRDefault="00A61475" w:rsidP="00A61475">
      <w:pPr>
        <w:spacing w:line="240" w:lineRule="auto"/>
      </w:pPr>
      <w:r>
        <w:rPr>
          <w:vertAlign w:val="superscript"/>
        </w:rPr>
        <w:footnoteRef/>
      </w:r>
      <w:r>
        <w:rPr>
          <w:i/>
          <w:sz w:val="20"/>
          <w:szCs w:val="20"/>
        </w:rPr>
        <w:t>Ibid</w:t>
      </w:r>
    </w:p>
  </w:footnote>
  <w:footnote w:id="22">
    <w:p w:rsidR="00A61475" w:rsidRDefault="00A61475" w:rsidP="00A61475">
      <w:pPr>
        <w:spacing w:line="240" w:lineRule="auto"/>
      </w:pPr>
      <w:r>
        <w:rPr>
          <w:vertAlign w:val="superscript"/>
        </w:rPr>
        <w:footnoteRef/>
      </w:r>
      <w:r>
        <w:rPr>
          <w:rFonts w:ascii="Times New Roman" w:eastAsia="Times New Roman" w:hAnsi="Times New Roman" w:cs="Times New Roman"/>
          <w:sz w:val="20"/>
          <w:szCs w:val="20"/>
        </w:rPr>
        <w:t>“</w:t>
      </w:r>
      <w:r>
        <w:rPr>
          <w:rFonts w:ascii="Times New Roman" w:eastAsia="Times New Roman" w:hAnsi="Times New Roman" w:cs="Times New Roman"/>
          <w:color w:val="323232"/>
          <w:sz w:val="20"/>
          <w:szCs w:val="20"/>
        </w:rPr>
        <w:t>And Incheon Declaration Framework for Action." Accessed November 5, 2016. http://unesdoc.unesco.org/images/0024/002456/245656e.pdf.</w:t>
      </w:r>
    </w:p>
  </w:footnote>
  <w:footnote w:id="23">
    <w:p w:rsidR="00A61475" w:rsidRDefault="00A61475" w:rsidP="00A61475">
      <w:pPr>
        <w:spacing w:line="240" w:lineRule="auto"/>
      </w:pPr>
      <w:r>
        <w:rPr>
          <w:vertAlign w:val="superscript"/>
        </w:rPr>
        <w:footnoteRef/>
      </w:r>
      <w:r>
        <w:rPr>
          <w:rFonts w:ascii="Times New Roman" w:eastAsia="Times New Roman" w:hAnsi="Times New Roman" w:cs="Times New Roman"/>
          <w:color w:val="323232"/>
          <w:sz w:val="20"/>
          <w:szCs w:val="20"/>
        </w:rPr>
        <w:t>wespicks. "Education in Mexico ." WENR. Accessed November 05, 2016. http://wenr.wes.org/2016/08/education-in-mexico.</w:t>
      </w:r>
    </w:p>
  </w:footnote>
  <w:footnote w:id="24">
    <w:p w:rsidR="00A61475" w:rsidRDefault="00A61475" w:rsidP="00A61475">
      <w:pPr>
        <w:spacing w:line="240" w:lineRule="auto"/>
      </w:pPr>
      <w:r>
        <w:rPr>
          <w:vertAlign w:val="superscript"/>
        </w:rPr>
        <w:footnoteRef/>
      </w:r>
      <w:r>
        <w:rPr>
          <w:i/>
          <w:sz w:val="20"/>
          <w:szCs w:val="20"/>
        </w:rPr>
        <w:t xml:space="preserve"> Ibid</w:t>
      </w:r>
    </w:p>
  </w:footnote>
  <w:footnote w:id="25">
    <w:p w:rsidR="00A61475" w:rsidRDefault="00A61475" w:rsidP="00A61475">
      <w:pPr>
        <w:spacing w:line="240" w:lineRule="auto"/>
      </w:pPr>
      <w:r>
        <w:rPr>
          <w:vertAlign w:val="superscript"/>
        </w:rPr>
        <w:footnoteRef/>
      </w:r>
      <w:r>
        <w:rPr>
          <w:rFonts w:ascii="Times New Roman" w:eastAsia="Times New Roman" w:hAnsi="Times New Roman" w:cs="Times New Roman"/>
          <w:color w:val="323232"/>
          <w:sz w:val="20"/>
          <w:szCs w:val="20"/>
        </w:rPr>
        <w:t>"Mexico." OECD. Accessed November 05, 2016. https://www.oecd.org/edu/Mexico-EAG2014-Country-Note.pdf.</w:t>
      </w:r>
    </w:p>
  </w:footnote>
  <w:footnote w:id="26">
    <w:p w:rsidR="00A61475" w:rsidRDefault="00A61475" w:rsidP="00A61475">
      <w:pPr>
        <w:spacing w:line="240" w:lineRule="auto"/>
      </w:pPr>
      <w:r>
        <w:rPr>
          <w:vertAlign w:val="superscript"/>
        </w:rPr>
        <w:footnoteRef/>
      </w:r>
      <w:r>
        <w:rPr>
          <w:sz w:val="20"/>
          <w:szCs w:val="20"/>
        </w:rPr>
        <w:t xml:space="preserve"> </w:t>
      </w:r>
      <w:r>
        <w:rPr>
          <w:rFonts w:ascii="Times New Roman" w:eastAsia="Times New Roman" w:hAnsi="Times New Roman" w:cs="Times New Roman"/>
          <w:color w:val="323232"/>
          <w:sz w:val="20"/>
          <w:szCs w:val="20"/>
        </w:rPr>
        <w:t>"Mexico Increases Access to Tertiary Education." World Bank. Accessed November 05, 2016. http://www.worldbank.org/en/results/2013/07/04/mexico-increases-access-to-tertiary-education.</w:t>
      </w:r>
    </w:p>
  </w:footnote>
  <w:footnote w:id="27">
    <w:p w:rsidR="00A61475" w:rsidRDefault="00A61475" w:rsidP="00A61475">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23232"/>
          <w:sz w:val="20"/>
          <w:szCs w:val="20"/>
        </w:rPr>
        <w:t>Uis. "Education : Expenditure on Education as % of GDP (from Government Sources)." Education : Expenditure on Education as % of GDP (from Government Sources). Accessed November 05, 2016. http://data.uis.unesco.org/?queryid=181.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73"/>
    <w:rsid w:val="006C5240"/>
    <w:rsid w:val="00A61475"/>
    <w:rsid w:val="00B7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39D77-8450-4C2B-B00C-F1261D92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hc.unesco.org/en/158/" TargetMode="External"/><Relationship Id="rId3" Type="http://schemas.openxmlformats.org/officeDocument/2006/relationships/webSettings" Target="webSettings.xml"/><Relationship Id="rId7" Type="http://schemas.openxmlformats.org/officeDocument/2006/relationships/hyperlink" Target="http://www.unesco.org/culture/natlaws/media/pdf/mexico/mx_fedlawmontszones1986_spaorof.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oecd.org/edu/Mexico-EAG2014-Country-Note.pdf" TargetMode="External"/><Relationship Id="rId4" Type="http://schemas.openxmlformats.org/officeDocument/2006/relationships/footnotes" Target="footnotes.xml"/><Relationship Id="rId9" Type="http://schemas.openxmlformats.org/officeDocument/2006/relationships/hyperlink" Target="http://www.uis.unesco.org/DataCentre/Pages/country-profile.aspx?code=MEX&amp;regioncode=40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14318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2016-11-07T01:28:00Z</dcterms:created>
  <dcterms:modified xsi:type="dcterms:W3CDTF">2016-11-07T01:28:00Z</dcterms:modified>
</cp:coreProperties>
</file>