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sz w:val="56"/>
          <w:szCs w:val="56"/>
        </w:rPr>
      </w:pPr>
      <w:r>
        <w:rPr>
          <w:rFonts w:ascii="TeXGyreAdventor" w:hAnsi="TeXGyreAdventor"/>
          <w:sz w:val="56"/>
          <w:szCs w:val="56"/>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 xml:space="preserve">I. </w:t>
      </w: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are also 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