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color w:val="1C1C1C"/>
          <w:sz w:val="20"/>
        </w:rPr>
      </w:r>
    </w:p>
    <w:p>
      <w:pPr>
        <w:spacing w:after="120"/>
      </w:pPr>
      <w:r>
        <w:rPr>
          <w:rFonts w:ascii="Arial" w:hAnsi="Arial"/>
          <w:b w:val="0"/>
          <w:color w:val="1C1C1C"/>
          <w:sz w:val="20"/>
        </w:rPr>
      </w:r>
    </w:p>
    <w:p>
      <w:pPr>
        <w:spacing w:after="480"/>
      </w:pPr>
      <w:r>
        <w:rPr>
          <w:rFonts w:ascii="Arial" w:hAnsi="Arial"/>
          <w:b/>
          <w:color w:val="C3002B"/>
          <w:sz w:val="72"/>
        </w:rPr>
        <w:t>PROPOSAL.</w:t>
      </w:r>
    </w:p>
    <w:p>
      <w:pPr>
        <w:spacing w:after="40"/>
      </w:pPr>
      <w:r>
        <w:rPr>
          <w:rFonts w:ascii="Arial" w:hAnsi="Arial"/>
          <w:b/>
          <w:color w:val="1C1C1C"/>
          <w:sz w:val="36"/>
        </w:rPr>
        <w:t>TELEDYNE</w:t>
      </w:r>
    </w:p>
    <w:p>
      <w:pPr>
        <w:spacing w:after="720"/>
      </w:pPr>
      <w:r>
        <w:rPr>
          <w:rFonts w:ascii="Arial" w:hAnsi="Arial"/>
          <w:b w:val="0"/>
          <w:color w:val="1C1C1C"/>
          <w:sz w:val="28"/>
        </w:rPr>
        <w:t>Fit-out High Tech Campus 6, Eindhoven</w:t>
      </w:r>
    </w:p>
    <w:p>
      <w:pPr>
        <w:spacing w:after="40"/>
      </w:pPr>
      <w:r>
        <w:rPr>
          <w:rFonts w:ascii="Arial" w:hAnsi="Arial"/>
          <w:b w:val="0"/>
          <w:color w:val="1C1C1C"/>
          <w:sz w:val="20"/>
        </w:rPr>
        <w:t>Date:</w:t>
        <w:tab/>
        <w:t>8 July 2026</w:t>
      </w:r>
    </w:p>
    <w:p>
      <w:pPr>
        <w:spacing w:after="40"/>
      </w:pPr>
      <w:r>
        <w:rPr>
          <w:rFonts w:ascii="Arial" w:hAnsi="Arial"/>
          <w:b w:val="0"/>
          <w:color w:val="1C1C1C"/>
          <w:sz w:val="20"/>
        </w:rPr>
        <w:t>Contact:</w:t>
        <w:tab/>
        <w:t>Sjoerd Bezemer</w:t>
      </w:r>
    </w:p>
    <w:p>
      <w:pPr>
        <w:spacing w:after="40"/>
      </w:pPr>
      <w:r>
        <w:rPr>
          <w:rFonts w:ascii="Arial" w:hAnsi="Arial"/>
          <w:b w:val="0"/>
          <w:color w:val="1C1C1C"/>
          <w:sz w:val="20"/>
        </w:rPr>
        <w:t>Mobile:</w:t>
        <w:tab/>
        <w:t>+31 (0)6 128 485 42</w:t>
      </w:r>
    </w:p>
    <w:p>
      <w:pPr>
        <w:spacing w:after="480"/>
      </w:pPr>
      <w:r>
        <w:rPr>
          <w:rFonts w:ascii="Arial" w:hAnsi="Arial"/>
          <w:b w:val="0"/>
          <w:color w:val="1C1C1C"/>
          <w:sz w:val="20"/>
        </w:rPr>
        <w:t>Email:</w:t>
        <w:tab/>
        <w:t>sjoerd.bezemer@cushwake.com</w:t>
      </w:r>
    </w:p>
    <w:p>
      <w:pPr>
        <w:spacing w:after="40"/>
      </w:pPr>
      <w:r>
        <w:rPr>
          <w:rFonts w:ascii="Arial" w:hAnsi="Arial"/>
          <w:b/>
          <w:color w:val="1C1C1C"/>
          <w:sz w:val="20"/>
        </w:rPr>
        <w:t>Reykjavikstraat 1 | 3543 KH UTRECHT</w:t>
      </w:r>
    </w:p>
    <w:p>
      <w:r>
        <w:br w:type="page"/>
      </w:r>
    </w:p>
    <w:p>
      <w:pPr>
        <w:spacing w:before="360" w:after="160"/>
      </w:pPr>
      <w:r>
        <w:rPr>
          <w:rFonts w:ascii="Arial" w:hAnsi="Arial"/>
          <w:b/>
          <w:color w:val="C3002B"/>
          <w:sz w:val="28"/>
        </w:rPr>
        <w:t>SITUATION AND REQUEST.</w:t>
      </w:r>
    </w:p>
    <w:p>
      <w:pPr>
        <w:spacing w:after="120"/>
      </w:pPr>
      <w:r>
        <w:rPr>
          <w:rFonts w:ascii="Arial" w:hAnsi="Arial"/>
          <w:b w:val="0"/>
          <w:color w:val="1C1C1C"/>
          <w:sz w:val="20"/>
        </w:rPr>
        <w:t>Teledyne has recently leased approximately 1,200 m² at High Tech Campus 6 in Eindhoven. The programme comprises office space, a cleanroom and logistics space. The lease was arranged with the support of Cushman &amp; Wakefield and delivery of the leased space to Teledyne has already taken place.</w:t>
      </w:r>
    </w:p>
    <w:p>
      <w:pPr>
        <w:spacing w:after="120"/>
      </w:pPr>
      <w:r>
        <w:rPr>
          <w:rFonts w:ascii="Arial" w:hAnsi="Arial"/>
          <w:b w:val="0"/>
          <w:color w:val="1C1C1C"/>
          <w:sz w:val="20"/>
        </w:rPr>
        <w:t>The current status of the project is as follows:</w:t>
      </w:r>
    </w:p>
    <w:p>
      <w:pPr>
        <w:pStyle w:val="ListBullet"/>
        <w:spacing w:after="60"/>
      </w:pPr>
      <w:r>
        <w:rPr>
          <w:rFonts w:ascii="Arial" w:hAnsi="Arial"/>
          <w:b w:val="0"/>
          <w:color w:val="1C1C1C"/>
          <w:sz w:val="20"/>
        </w:rPr>
        <w:t>A test-fit has been developed based on a spatial Programme of Requirements (PoR); the spatial layout is well understood.</w:t>
      </w:r>
    </w:p>
    <w:p>
      <w:pPr>
        <w:pStyle w:val="ListBullet"/>
        <w:spacing w:after="60"/>
      </w:pPr>
      <w:r>
        <w:rPr>
          <w:rFonts w:ascii="Arial" w:hAnsi="Arial"/>
          <w:b w:val="0"/>
          <w:color w:val="1C1C1C"/>
          <w:sz w:val="20"/>
        </w:rPr>
        <w:t>The technical Programme of Requirements is largely clear.</w:t>
      </w:r>
    </w:p>
    <w:p>
      <w:pPr>
        <w:pStyle w:val="ListBullet"/>
        <w:spacing w:after="60"/>
      </w:pPr>
      <w:r>
        <w:rPr>
          <w:rFonts w:ascii="Arial" w:hAnsi="Arial"/>
          <w:b w:val="0"/>
          <w:color w:val="1C1C1C"/>
          <w:sz w:val="20"/>
        </w:rPr>
        <w:t>Several contractors and specialist lab-builders have been approached for pricing. Their feedback is that the available information is insufficient for a reliable quotation, or that quotations carry a significant risk premium due to the remaining uncertainties.</w:t>
      </w:r>
    </w:p>
    <w:p>
      <w:pPr>
        <w:spacing w:after="120"/>
      </w:pPr>
      <w:r>
        <w:rPr>
          <w:rFonts w:ascii="Arial" w:hAnsi="Arial"/>
          <w:b w:val="0"/>
          <w:color w:val="1C1C1C"/>
          <w:sz w:val="20"/>
        </w:rPr>
        <w:t>The target move-in date is April 2027.</w:t>
      </w:r>
    </w:p>
    <w:p>
      <w:pPr>
        <w:spacing w:after="120"/>
      </w:pPr>
      <w:r>
        <w:rPr>
          <w:rFonts w:ascii="Arial" w:hAnsi="Arial"/>
          <w:b w:val="0"/>
          <w:color w:val="1C1C1C"/>
          <w:sz w:val="20"/>
        </w:rPr>
        <w:t>You have asked us to submit a proposal for the first phase of our structured design-and-delivery process: the development of a project plan. This project plan will provide the structure, clarity and decision framework required to de-risk the next phases and to obtain reliable, comparable pricing from the market.</w:t>
      </w:r>
    </w:p>
    <w:p>
      <w:pPr>
        <w:spacing w:before="360" w:after="160"/>
      </w:pPr>
      <w:r>
        <w:rPr>
          <w:rFonts w:ascii="Arial" w:hAnsi="Arial"/>
          <w:b/>
          <w:color w:val="C3002B"/>
          <w:sz w:val="28"/>
        </w:rPr>
        <w:t>PROPOSAL.</w:t>
      </w:r>
    </w:p>
    <w:p>
      <w:pPr>
        <w:spacing w:after="120"/>
      </w:pPr>
      <w:r>
        <w:rPr>
          <w:rFonts w:ascii="Arial" w:hAnsi="Arial"/>
          <w:b w:val="0"/>
          <w:color w:val="1C1C1C"/>
          <w:sz w:val="20"/>
        </w:rPr>
        <w:t>Following our kick-off meeting at High Tech Campus Eindhoven, we propose to deploy a senior project manager, supported where required by our in-house MEP and cost specialists given the technical complexity of the cleanroom component. The senior project manager will act as your single point of contact and will report directly to Teledyne.</w:t>
      </w:r>
    </w:p>
    <w:p>
      <w:pPr>
        <w:spacing w:after="80"/>
      </w:pPr>
      <w:r>
        <w:rPr>
          <w:rFonts w:ascii="Arial" w:hAnsi="Arial"/>
          <w:b/>
          <w:color w:val="1C1C1C"/>
          <w:sz w:val="20"/>
        </w:rPr>
        <w:t>Phase 1 – Project Plan</w:t>
      </w:r>
    </w:p>
    <w:p>
      <w:pPr>
        <w:spacing w:after="120"/>
      </w:pPr>
      <w:r>
        <w:rPr>
          <w:rFonts w:ascii="Arial" w:hAnsi="Arial"/>
          <w:b w:val="0"/>
          <w:color w:val="1C1C1C"/>
          <w:sz w:val="20"/>
        </w:rPr>
        <w:t>The project plan will cover:</w:t>
      </w:r>
    </w:p>
    <w:p>
      <w:pPr>
        <w:pStyle w:val="ListBullet"/>
        <w:spacing w:after="60"/>
      </w:pPr>
      <w:r>
        <w:rPr>
          <w:rFonts w:ascii="Arial" w:hAnsi="Arial"/>
          <w:b w:val="0"/>
          <w:color w:val="1C1C1C"/>
          <w:sz w:val="20"/>
        </w:rPr>
        <w:t>The full process from the current situation through to move-in in April 2027.</w:t>
      </w:r>
    </w:p>
    <w:p>
      <w:pPr>
        <w:pStyle w:val="ListBullet"/>
        <w:spacing w:after="60"/>
      </w:pPr>
      <w:r>
        <w:rPr>
          <w:rFonts w:ascii="Arial" w:hAnsi="Arial"/>
          <w:b w:val="0"/>
          <w:color w:val="1C1C1C"/>
          <w:sz w:val="20"/>
        </w:rPr>
        <w:t>The project phasing: definition, concept design (SO), preliminary design (VO), final design (DO), tender and contracting, construction, and handover.</w:t>
      </w:r>
    </w:p>
    <w:p>
      <w:pPr>
        <w:pStyle w:val="ListBullet"/>
        <w:spacing w:after="60"/>
      </w:pPr>
      <w:r>
        <w:rPr>
          <w:rFonts w:ascii="Arial" w:hAnsi="Arial"/>
          <w:b w:val="0"/>
          <w:color w:val="1C1C1C"/>
          <w:sz w:val="20"/>
        </w:rPr>
        <w:t>The key milestones and an overall project schedule aligned with the April 2027 move-in date.</w:t>
      </w:r>
    </w:p>
    <w:p>
      <w:pPr>
        <w:pStyle w:val="ListBullet"/>
        <w:spacing w:after="60"/>
      </w:pPr>
      <w:r>
        <w:rPr>
          <w:rFonts w:ascii="Arial" w:hAnsi="Arial"/>
          <w:b w:val="0"/>
          <w:color w:val="1C1C1C"/>
          <w:sz w:val="20"/>
        </w:rPr>
        <w:t>An overview of outstanding information and decisions, with owners and deadlines.</w:t>
      </w:r>
    </w:p>
    <w:p>
      <w:pPr>
        <w:pStyle w:val="ListBullet"/>
        <w:spacing w:after="60"/>
      </w:pPr>
      <w:r>
        <w:rPr>
          <w:rFonts w:ascii="Arial" w:hAnsi="Arial"/>
          <w:b w:val="0"/>
          <w:color w:val="1C1C1C"/>
          <w:sz w:val="20"/>
        </w:rPr>
        <w:t>The basis (scope, deliverables and organisation) for the design, engineering and tender phases.</w:t>
      </w:r>
    </w:p>
    <w:p>
      <w:pPr>
        <w:spacing w:after="120"/>
      </w:pPr>
      <w:r>
        <w:rPr>
          <w:rFonts w:ascii="Arial" w:hAnsi="Arial"/>
          <w:b w:val="0"/>
          <w:color w:val="1C1C1C"/>
          <w:sz w:val="20"/>
        </w:rPr>
        <w:t>To produce the project plan we will undertake the following activities:</w:t>
      </w:r>
    </w:p>
    <w:p>
      <w:pPr>
        <w:pStyle w:val="ListBullet"/>
        <w:spacing w:after="60"/>
      </w:pPr>
      <w:r>
        <w:rPr>
          <w:rFonts w:ascii="Arial" w:hAnsi="Arial"/>
          <w:b w:val="0"/>
          <w:color w:val="1C1C1C"/>
          <w:sz w:val="20"/>
        </w:rPr>
        <w:t>Kick-off and site visit at High Tech Campus 6.</w:t>
      </w:r>
    </w:p>
    <w:p>
      <w:pPr>
        <w:pStyle w:val="ListBullet"/>
        <w:spacing w:after="60"/>
      </w:pPr>
      <w:r>
        <w:rPr>
          <w:rFonts w:ascii="Arial" w:hAnsi="Arial"/>
          <w:b w:val="0"/>
          <w:color w:val="1C1C1C"/>
          <w:sz w:val="20"/>
        </w:rPr>
        <w:t>Review of the available documentation: test-fit, spatial and technical Programme of Requirements, and the delivery documentation of the leased space.</w:t>
      </w:r>
    </w:p>
    <w:p>
      <w:pPr>
        <w:pStyle w:val="ListBullet"/>
        <w:spacing w:after="60"/>
      </w:pPr>
      <w:r>
        <w:rPr>
          <w:rFonts w:ascii="Arial" w:hAnsi="Arial"/>
          <w:b w:val="0"/>
          <w:color w:val="1C1C1C"/>
          <w:sz w:val="20"/>
        </w:rPr>
        <w:t>Working sessions with the Teledyne stakeholders to validate ambitions, budget framework and schedule constraints.</w:t>
      </w:r>
    </w:p>
    <w:p>
      <w:pPr>
        <w:pStyle w:val="ListBullet"/>
        <w:spacing w:after="60"/>
      </w:pPr>
      <w:r>
        <w:rPr>
          <w:rFonts w:ascii="Arial" w:hAnsi="Arial"/>
          <w:b w:val="0"/>
          <w:color w:val="1C1C1C"/>
          <w:sz w:val="20"/>
        </w:rPr>
        <w:t>Assessment of the open technical questions (with emphasis on the cleanroom and MEP scope) that currently prevent reliable contractor pricing.</w:t>
      </w:r>
    </w:p>
    <w:p>
      <w:pPr>
        <w:pStyle w:val="ListBullet"/>
        <w:spacing w:after="60"/>
      </w:pPr>
      <w:r>
        <w:rPr>
          <w:rFonts w:ascii="Arial" w:hAnsi="Arial"/>
          <w:b w:val="0"/>
          <w:color w:val="1C1C1C"/>
          <w:sz w:val="20"/>
        </w:rPr>
        <w:t>Drafting of the project plan, a joint review session, and issue of the final project plan.</w:t>
      </w:r>
    </w:p>
    <w:p>
      <w:pPr>
        <w:spacing w:before="360" w:after="160"/>
      </w:pPr>
      <w:r>
        <w:rPr>
          <w:rFonts w:ascii="Arial" w:hAnsi="Arial"/>
          <w:b/>
          <w:color w:val="C3002B"/>
          <w:sz w:val="28"/>
        </w:rPr>
        <w:t>NEXT STEPS AFTER THE PROJECT PLAN.</w:t>
      </w:r>
    </w:p>
    <w:p>
      <w:pPr>
        <w:spacing w:after="120"/>
      </w:pPr>
      <w:r>
        <w:rPr>
          <w:rFonts w:ascii="Arial" w:hAnsi="Arial"/>
          <w:b w:val="0"/>
          <w:color w:val="1C1C1C"/>
          <w:sz w:val="20"/>
        </w:rPr>
        <w:t>The project plan forms the basis for the subsequent phases of our structured design-and-delivery process. Upon completion of the project plan, we can support Teledyne with the following steps:</w:t>
      </w:r>
    </w:p>
    <w:p>
      <w:pPr>
        <w:pStyle w:val="ListBullet"/>
        <w:spacing w:after="60"/>
      </w:pPr>
      <w:r>
        <w:rPr>
          <w:rFonts w:ascii="Arial" w:hAnsi="Arial"/>
          <w:b w:val="0"/>
          <w:color w:val="1C1C1C"/>
          <w:sz w:val="20"/>
        </w:rPr>
        <w:t>Validate and complete the spatial and technical Programme of Requirements.</w:t>
      </w:r>
    </w:p>
    <w:p>
      <w:pPr>
        <w:pStyle w:val="ListBullet"/>
        <w:spacing w:after="60"/>
      </w:pPr>
      <w:r>
        <w:rPr>
          <w:rFonts w:ascii="Arial" w:hAnsi="Arial"/>
          <w:b w:val="0"/>
          <w:color w:val="1C1C1C"/>
          <w:sz w:val="20"/>
        </w:rPr>
        <w:t>Develop a concept design (SO) with sufficient detail to lock down the key design decisions.</w:t>
      </w:r>
    </w:p>
    <w:p>
      <w:pPr>
        <w:pStyle w:val="ListBullet"/>
        <w:spacing w:after="60"/>
      </w:pPr>
      <w:r>
        <w:rPr>
          <w:rFonts w:ascii="Arial" w:hAnsi="Arial"/>
          <w:b w:val="0"/>
          <w:color w:val="1C1C1C"/>
          <w:sz w:val="20"/>
        </w:rPr>
        <w:t>Advance to a preliminary design (VO), including technical engineering.</w:t>
      </w:r>
    </w:p>
    <w:p>
      <w:pPr>
        <w:pStyle w:val="ListBullet"/>
        <w:spacing w:after="60"/>
      </w:pPr>
      <w:r>
        <w:rPr>
          <w:rFonts w:ascii="Arial" w:hAnsi="Arial"/>
          <w:b w:val="0"/>
          <w:color w:val="1C1C1C"/>
          <w:sz w:val="20"/>
        </w:rPr>
        <w:t>Develop a final design (DO) with all information ready for tender.</w:t>
      </w:r>
    </w:p>
    <w:p>
      <w:pPr>
        <w:pStyle w:val="ListBullet"/>
        <w:spacing w:after="60"/>
      </w:pPr>
      <w:r>
        <w:rPr>
          <w:rFonts w:ascii="Arial" w:hAnsi="Arial"/>
          <w:b w:val="0"/>
          <w:color w:val="1C1C1C"/>
          <w:sz w:val="20"/>
        </w:rPr>
        <w:t>Organise and manage the tender and advise on the right parties to contract.</w:t>
      </w:r>
    </w:p>
    <w:p>
      <w:pPr>
        <w:pStyle w:val="ListBullet"/>
        <w:spacing w:after="60"/>
      </w:pPr>
      <w:r>
        <w:rPr>
          <w:rFonts w:ascii="Arial" w:hAnsi="Arial"/>
          <w:b w:val="0"/>
          <w:color w:val="1C1C1C"/>
          <w:sz w:val="20"/>
        </w:rPr>
        <w:t>Advise on contracting the selected contractor(s).</w:t>
      </w:r>
    </w:p>
    <w:p>
      <w:pPr>
        <w:pStyle w:val="ListBullet"/>
        <w:spacing w:after="60"/>
      </w:pPr>
      <w:r>
        <w:rPr>
          <w:rFonts w:ascii="Arial" w:hAnsi="Arial"/>
          <w:b w:val="0"/>
          <w:color w:val="1C1C1C"/>
          <w:sz w:val="20"/>
        </w:rPr>
        <w:t>Manage the construction phase as Project Manager and Site Manager, including chairing construction meetings, planning and quality control, progress reporting and periodic photo reporting.</w:t>
      </w:r>
    </w:p>
    <w:p>
      <w:pPr>
        <w:pStyle w:val="ListBullet"/>
        <w:spacing w:after="60"/>
      </w:pPr>
      <w:r>
        <w:rPr>
          <w:rFonts w:ascii="Arial" w:hAnsi="Arial"/>
          <w:b w:val="0"/>
          <w:color w:val="1C1C1C"/>
          <w:sz w:val="20"/>
        </w:rPr>
        <w:t>Organise the handover, manage the completion of any remaining points and collect all as-built documentation, guarantees and maintenance instructions.</w:t>
      </w:r>
    </w:p>
    <w:p>
      <w:pPr>
        <w:spacing w:after="120"/>
      </w:pPr>
      <w:r>
        <w:rPr>
          <w:rFonts w:ascii="Arial" w:hAnsi="Arial"/>
          <w:b w:val="0"/>
          <w:color w:val="1C1C1C"/>
          <w:sz w:val="20"/>
        </w:rPr>
        <w:t>Cushman &amp; Wakefield can support this full trajectory with its multidisciplinary in-house team: Design, Architecture, Engineering, Project Management, Cost Management and Site Management. Each subsequent phase will be quoted separately; the project plan provides the scope definition on which those fee proposals will be based, so that Teledyne maintains full control over commitments per phase.</w:t>
      </w:r>
    </w:p>
    <w:p>
      <w:pPr>
        <w:spacing w:before="360" w:after="160"/>
      </w:pPr>
      <w:r>
        <w:rPr>
          <w:rFonts w:ascii="Arial" w:hAnsi="Arial"/>
          <w:b/>
          <w:color w:val="C3002B"/>
          <w:sz w:val="28"/>
        </w:rPr>
        <w:t>FEE.</w:t>
      </w:r>
    </w:p>
    <w:p>
      <w:pPr>
        <w:spacing w:after="120"/>
      </w:pPr>
      <w:r>
        <w:rPr>
          <w:rFonts w:ascii="Arial" w:hAnsi="Arial"/>
          <w:b w:val="0"/>
          <w:color w:val="1C1C1C"/>
          <w:sz w:val="20"/>
        </w:rPr>
        <w:t>For the development of the project plan (Phase 1) we estimate the following effort: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tcPr>
          <w:p>
            <w:pPr>
              <w:spacing w:after="40"/>
            </w:pPr>
            <w:r>
              <w:rPr>
                <w:b/>
                <w:color w:val="C3002B"/>
              </w:rPr>
            </w:r>
            <w:r>
              <w:rPr>
                <w:rFonts w:ascii="Arial" w:hAnsi="Arial"/>
                <w:b/>
                <w:color w:val="C3002B"/>
                <w:sz w:val="20"/>
              </w:rPr>
              <w:t>Role</w:t>
            </w:r>
          </w:p>
        </w:tc>
        <w:tc>
          <w:tcPr>
            <w:tcW w:type="dxa" w:w="2436"/>
          </w:tcPr>
          <w:p>
            <w:pPr>
              <w:spacing w:after="40"/>
            </w:pPr>
            <w:r>
              <w:rPr>
                <w:b/>
                <w:color w:val="C3002B"/>
              </w:rPr>
            </w:r>
            <w:r>
              <w:rPr>
                <w:rFonts w:ascii="Arial" w:hAnsi="Arial"/>
                <w:b/>
                <w:color w:val="C3002B"/>
                <w:sz w:val="20"/>
              </w:rPr>
              <w:t>Hours</w:t>
            </w:r>
          </w:p>
        </w:tc>
        <w:tc>
          <w:tcPr>
            <w:tcW w:type="dxa" w:w="2436"/>
          </w:tcPr>
          <w:p>
            <w:pPr>
              <w:spacing w:after="40"/>
            </w:pPr>
            <w:r>
              <w:rPr>
                <w:b/>
                <w:color w:val="C3002B"/>
              </w:rPr>
            </w:r>
            <w:r>
              <w:rPr>
                <w:rFonts w:ascii="Arial" w:hAnsi="Arial"/>
                <w:b/>
                <w:color w:val="C3002B"/>
                <w:sz w:val="20"/>
              </w:rPr>
              <w:t>Rate (EUR/h)</w:t>
            </w:r>
          </w:p>
        </w:tc>
        <w:tc>
          <w:tcPr>
            <w:tcW w:type="dxa" w:w="2436"/>
          </w:tcPr>
          <w:p>
            <w:pPr>
              <w:spacing w:after="40"/>
            </w:pPr>
            <w:r>
              <w:rPr>
                <w:b/>
                <w:color w:val="C3002B"/>
              </w:rPr>
            </w:r>
            <w:r>
              <w:rPr>
                <w:rFonts w:ascii="Arial" w:hAnsi="Arial"/>
                <w:b/>
                <w:color w:val="C3002B"/>
                <w:sz w:val="20"/>
              </w:rPr>
              <w:t>Amount (EUR)</w:t>
            </w:r>
          </w:p>
        </w:tc>
      </w:tr>
      <w:tr>
        <w:tc>
          <w:tcPr>
            <w:tcW w:type="dxa" w:w="2436"/>
          </w:tcPr>
          <w:p>
            <w:pPr>
              <w:spacing w:after="40"/>
            </w:pPr>
            <w:r/>
            <w:r>
              <w:rPr>
                <w:rFonts w:ascii="Arial" w:hAnsi="Arial"/>
                <w:b w:val="0"/>
                <w:color w:val="1C1C1C"/>
                <w:sz w:val="20"/>
              </w:rPr>
              <w:t>Project manager sr.</w:t>
            </w:r>
          </w:p>
        </w:tc>
        <w:tc>
          <w:tcPr>
            <w:tcW w:type="dxa" w:w="2436"/>
          </w:tcPr>
          <w:p>
            <w:pPr>
              <w:spacing w:after="40"/>
            </w:pPr>
            <w:r/>
            <w:r>
              <w:rPr>
                <w:rFonts w:ascii="Arial" w:hAnsi="Arial"/>
                <w:b w:val="0"/>
                <w:color w:val="1C1C1C"/>
                <w:sz w:val="20"/>
              </w:rPr>
              <w:t>40</w:t>
            </w:r>
          </w:p>
        </w:tc>
        <w:tc>
          <w:tcPr>
            <w:tcW w:type="dxa" w:w="2436"/>
          </w:tcPr>
          <w:p>
            <w:pPr>
              <w:spacing w:after="40"/>
            </w:pPr>
            <w:r/>
            <w:r>
              <w:rPr>
                <w:rFonts w:ascii="Arial" w:hAnsi="Arial"/>
                <w:b w:val="0"/>
                <w:color w:val="1C1C1C"/>
                <w:sz w:val="20"/>
              </w:rPr>
              <w:t>155,-</w:t>
            </w:r>
          </w:p>
        </w:tc>
        <w:tc>
          <w:tcPr>
            <w:tcW w:type="dxa" w:w="2436"/>
          </w:tcPr>
          <w:p>
            <w:pPr>
              <w:spacing w:after="40"/>
            </w:pPr>
            <w:r/>
            <w:r>
              <w:rPr>
                <w:rFonts w:ascii="Arial" w:hAnsi="Arial"/>
                <w:b w:val="0"/>
                <w:color w:val="1C1C1C"/>
                <w:sz w:val="20"/>
              </w:rPr>
              <w:t>6.200,-</w:t>
            </w:r>
          </w:p>
        </w:tc>
      </w:tr>
      <w:tr>
        <w:tc>
          <w:tcPr>
            <w:tcW w:type="dxa" w:w="2436"/>
          </w:tcPr>
          <w:p>
            <w:pPr>
              <w:spacing w:after="40"/>
            </w:pPr>
            <w:r/>
            <w:r>
              <w:rPr>
                <w:rFonts w:ascii="Arial" w:hAnsi="Arial"/>
                <w:b w:val="0"/>
                <w:color w:val="1C1C1C"/>
                <w:sz w:val="20"/>
              </w:rPr>
              <w:t>MEP consultant</w:t>
            </w:r>
          </w:p>
        </w:tc>
        <w:tc>
          <w:tcPr>
            <w:tcW w:type="dxa" w:w="2436"/>
          </w:tcPr>
          <w:p>
            <w:pPr>
              <w:spacing w:after="40"/>
            </w:pPr>
            <w:r/>
            <w:r>
              <w:rPr>
                <w:rFonts w:ascii="Arial" w:hAnsi="Arial"/>
                <w:b w:val="0"/>
                <w:color w:val="1C1C1C"/>
                <w:sz w:val="20"/>
              </w:rPr>
              <w:t>8</w:t>
            </w:r>
          </w:p>
        </w:tc>
        <w:tc>
          <w:tcPr>
            <w:tcW w:type="dxa" w:w="2436"/>
          </w:tcPr>
          <w:p>
            <w:pPr>
              <w:spacing w:after="40"/>
            </w:pPr>
            <w:r/>
            <w:r>
              <w:rPr>
                <w:rFonts w:ascii="Arial" w:hAnsi="Arial"/>
                <w:b w:val="0"/>
                <w:color w:val="1C1C1C"/>
                <w:sz w:val="20"/>
              </w:rPr>
              <w:t>175,-</w:t>
            </w:r>
          </w:p>
        </w:tc>
        <w:tc>
          <w:tcPr>
            <w:tcW w:type="dxa" w:w="2436"/>
          </w:tcPr>
          <w:p>
            <w:pPr>
              <w:spacing w:after="40"/>
            </w:pPr>
            <w:r/>
            <w:r>
              <w:rPr>
                <w:rFonts w:ascii="Arial" w:hAnsi="Arial"/>
                <w:b w:val="0"/>
                <w:color w:val="1C1C1C"/>
                <w:sz w:val="20"/>
              </w:rPr>
              <w:t>1.400,-</w:t>
            </w:r>
          </w:p>
        </w:tc>
      </w:tr>
      <w:tr>
        <w:tc>
          <w:tcPr>
            <w:tcW w:type="dxa" w:w="2436"/>
          </w:tcPr>
          <w:p>
            <w:pPr>
              <w:spacing w:after="40"/>
            </w:pPr>
            <w:r/>
            <w:r>
              <w:rPr>
                <w:rFonts w:ascii="Arial" w:hAnsi="Arial"/>
                <w:b w:val="0"/>
                <w:color w:val="1C1C1C"/>
                <w:sz w:val="20"/>
              </w:rPr>
              <w:t>Cost consultant</w:t>
            </w:r>
          </w:p>
        </w:tc>
        <w:tc>
          <w:tcPr>
            <w:tcW w:type="dxa" w:w="2436"/>
          </w:tcPr>
          <w:p>
            <w:pPr>
              <w:spacing w:after="40"/>
            </w:pPr>
            <w:r/>
            <w:r>
              <w:rPr>
                <w:rFonts w:ascii="Arial" w:hAnsi="Arial"/>
                <w:b w:val="0"/>
                <w:color w:val="1C1C1C"/>
                <w:sz w:val="20"/>
              </w:rPr>
              <w:t>8</w:t>
            </w:r>
          </w:p>
        </w:tc>
        <w:tc>
          <w:tcPr>
            <w:tcW w:type="dxa" w:w="2436"/>
          </w:tcPr>
          <w:p>
            <w:pPr>
              <w:spacing w:after="40"/>
            </w:pPr>
            <w:r/>
            <w:r>
              <w:rPr>
                <w:rFonts w:ascii="Arial" w:hAnsi="Arial"/>
                <w:b w:val="0"/>
                <w:color w:val="1C1C1C"/>
                <w:sz w:val="20"/>
              </w:rPr>
              <w:t>175,-</w:t>
            </w:r>
          </w:p>
        </w:tc>
        <w:tc>
          <w:tcPr>
            <w:tcW w:type="dxa" w:w="2436"/>
          </w:tcPr>
          <w:p>
            <w:pPr>
              <w:spacing w:after="40"/>
            </w:pPr>
            <w:r/>
            <w:r>
              <w:rPr>
                <w:rFonts w:ascii="Arial" w:hAnsi="Arial"/>
                <w:b w:val="0"/>
                <w:color w:val="1C1C1C"/>
                <w:sz w:val="20"/>
              </w:rPr>
              <w:t>1.400,-</w:t>
            </w:r>
          </w:p>
        </w:tc>
      </w:tr>
      <w:tr>
        <w:tc>
          <w:tcPr>
            <w:tcW w:type="dxa" w:w="2436"/>
          </w:tcPr>
          <w:p>
            <w:pPr>
              <w:spacing w:after="40"/>
            </w:pPr>
            <w:r/>
            <w:r>
              <w:rPr>
                <w:rFonts w:ascii="Arial" w:hAnsi="Arial"/>
                <w:b/>
                <w:color w:val="1C1C1C"/>
                <w:sz w:val="20"/>
              </w:rPr>
              <w:t>Total (fixed fee, excl. VAT)</w:t>
            </w:r>
          </w:p>
        </w:tc>
        <w:tc>
          <w:tcPr>
            <w:tcW w:type="dxa" w:w="2436"/>
          </w:tcPr>
          <w:p>
            <w:pPr>
              <w:spacing w:after="40"/>
            </w:pPr>
            <w:r/>
            <w:r>
              <w:rPr>
                <w:rFonts w:ascii="Arial" w:hAnsi="Arial"/>
                <w:b/>
                <w:color w:val="1C1C1C"/>
                <w:sz w:val="20"/>
              </w:rPr>
              <w:t>56</w:t>
            </w:r>
          </w:p>
        </w:tc>
        <w:tc>
          <w:tcPr>
            <w:tcW w:type="dxa" w:w="2436"/>
          </w:tcPr>
          <w:p>
            <w:pPr>
              <w:spacing w:after="40"/>
            </w:pPr>
            <w:r/>
            <w:r>
              <w:rPr>
                <w:rFonts w:ascii="Arial" w:hAnsi="Arial"/>
                <w:b/>
                <w:color w:val="1C1C1C"/>
                <w:sz w:val="20"/>
              </w:rPr>
            </w:r>
          </w:p>
        </w:tc>
        <w:tc>
          <w:tcPr>
            <w:tcW w:type="dxa" w:w="2436"/>
          </w:tcPr>
          <w:p>
            <w:pPr>
              <w:spacing w:after="40"/>
            </w:pPr>
            <w:r/>
            <w:r>
              <w:rPr>
                <w:rFonts w:ascii="Arial" w:hAnsi="Arial"/>
                <w:b/>
                <w:color w:val="1C1C1C"/>
                <w:sz w:val="20"/>
              </w:rPr>
              <w:t>9.000,-</w:t>
            </w:r>
          </w:p>
        </w:tc>
      </w:tr>
    </w:tbl>
    <w:p>
      <w:pPr>
        <w:spacing w:after="120"/>
      </w:pPr>
      <w:r>
        <w:rPr>
          <w:rFonts w:ascii="Arial" w:hAnsi="Arial"/>
          <w:b w:val="0"/>
          <w:color w:val="1C1C1C"/>
          <w:sz w:val="20"/>
        </w:rPr>
      </w:r>
    </w:p>
    <w:p>
      <w:pPr>
        <w:spacing w:after="120"/>
      </w:pPr>
      <w:r>
        <w:rPr>
          <w:rFonts w:ascii="Arial" w:hAnsi="Arial"/>
          <w:b/>
          <w:color w:val="1C1C1C"/>
          <w:sz w:val="20"/>
        </w:rPr>
        <w:t>We offer Phase 1 for a fixed fee of EUR 9.000,- excluding VAT, including travel and accommodation expenses within the Netherlands.</w:t>
      </w:r>
    </w:p>
    <w:p>
      <w:pPr>
        <w:spacing w:before="360" w:after="160"/>
      </w:pPr>
      <w:r>
        <w:rPr>
          <w:rFonts w:ascii="Arial" w:hAnsi="Arial"/>
          <w:b/>
          <w:color w:val="C3002B"/>
          <w:sz w:val="28"/>
        </w:rPr>
        <w:t>SCHEDULE.</w:t>
      </w:r>
    </w:p>
    <w:p>
      <w:pPr>
        <w:spacing w:after="120"/>
      </w:pPr>
      <w:r>
        <w:rPr>
          <w:rFonts w:ascii="Arial" w:hAnsi="Arial"/>
          <w:b w:val="0"/>
          <w:color w:val="1C1C1C"/>
          <w:sz w:val="20"/>
        </w:rPr>
        <w:t>Once the signed proposal has been returned to us, we can start the work within two weeks. The project plan will be delivered within four weeks of the start.</w:t>
      </w:r>
    </w:p>
    <w:p>
      <w:pPr>
        <w:spacing w:after="120"/>
      </w:pPr>
      <w:r>
        <w:rPr>
          <w:rFonts w:ascii="Arial" w:hAnsi="Arial"/>
          <w:b w:val="0"/>
          <w:color w:val="1C1C1C"/>
          <w:sz w:val="20"/>
        </w:rPr>
        <w:t>Based on our knowledge and experience, and working back from the target move-in date of April 2027, we currently anticipate the following indicative durations per project phase. The definitive schedule will be developed as part of the project plan.</w:t>
      </w:r>
    </w:p>
    <w:tbl>
      <w:tblPr>
        <w:tblStyle w:val="TableGrid"/>
        <w:tblW w:type="auto" w:w="0"/>
        <w:jc w:val="left"/>
        <w:tblLook w:firstColumn="1" w:firstRow="1" w:lastColumn="0" w:lastRow="0" w:noHBand="0" w:noVBand="1" w:val="04A0"/>
      </w:tblPr>
      <w:tblGrid>
        <w:gridCol w:w="4873"/>
        <w:gridCol w:w="4873"/>
      </w:tblGrid>
      <w:tr>
        <w:tc>
          <w:tcPr>
            <w:tcW w:type="dxa" w:w="4873"/>
          </w:tcPr>
          <w:p>
            <w:pPr>
              <w:spacing w:after="40"/>
            </w:pPr>
            <w:r>
              <w:rPr>
                <w:b/>
                <w:color w:val="C3002B"/>
              </w:rPr>
            </w:r>
            <w:r>
              <w:rPr>
                <w:rFonts w:ascii="Arial" w:hAnsi="Arial"/>
                <w:b/>
                <w:color w:val="C3002B"/>
                <w:sz w:val="20"/>
              </w:rPr>
              <w:t>Phase</w:t>
            </w:r>
          </w:p>
        </w:tc>
        <w:tc>
          <w:tcPr>
            <w:tcW w:type="dxa" w:w="4873"/>
          </w:tcPr>
          <w:p>
            <w:pPr>
              <w:spacing w:after="40"/>
            </w:pPr>
            <w:r>
              <w:rPr>
                <w:b/>
                <w:color w:val="C3002B"/>
              </w:rPr>
            </w:r>
            <w:r>
              <w:rPr>
                <w:rFonts w:ascii="Arial" w:hAnsi="Arial"/>
                <w:b/>
                <w:color w:val="C3002B"/>
                <w:sz w:val="20"/>
              </w:rPr>
              <w:t>Indicative duration</w:t>
            </w:r>
          </w:p>
        </w:tc>
      </w:tr>
      <w:tr>
        <w:tc>
          <w:tcPr>
            <w:tcW w:type="dxa" w:w="4873"/>
          </w:tcPr>
          <w:p>
            <w:pPr>
              <w:spacing w:after="40"/>
            </w:pPr>
            <w:r/>
            <w:r>
              <w:rPr>
                <w:rFonts w:ascii="Arial" w:hAnsi="Arial"/>
                <w:b w:val="0"/>
                <w:color w:val="1C1C1C"/>
                <w:sz w:val="20"/>
              </w:rPr>
              <w:t>Project plan (this proposal)</w:t>
            </w:r>
          </w:p>
        </w:tc>
        <w:tc>
          <w:tcPr>
            <w:tcW w:type="dxa" w:w="4873"/>
          </w:tcPr>
          <w:p>
            <w:pPr>
              <w:spacing w:after="40"/>
            </w:pPr>
            <w:r/>
            <w:r>
              <w:rPr>
                <w:rFonts w:ascii="Arial" w:hAnsi="Arial"/>
                <w:b w:val="0"/>
                <w:color w:val="1C1C1C"/>
                <w:sz w:val="20"/>
              </w:rPr>
              <w:t>4 weeks</w:t>
            </w:r>
          </w:p>
        </w:tc>
      </w:tr>
      <w:tr>
        <w:tc>
          <w:tcPr>
            <w:tcW w:type="dxa" w:w="4873"/>
          </w:tcPr>
          <w:p>
            <w:pPr>
              <w:spacing w:after="40"/>
            </w:pPr>
            <w:r/>
            <w:r>
              <w:rPr>
                <w:rFonts w:ascii="Arial" w:hAnsi="Arial"/>
                <w:b w:val="0"/>
                <w:color w:val="1C1C1C"/>
                <w:sz w:val="20"/>
              </w:rPr>
              <w:t>Validation and completion of the PoR</w:t>
            </w:r>
          </w:p>
        </w:tc>
        <w:tc>
          <w:tcPr>
            <w:tcW w:type="dxa" w:w="4873"/>
          </w:tcPr>
          <w:p>
            <w:pPr>
              <w:spacing w:after="40"/>
            </w:pPr>
            <w:r/>
            <w:r>
              <w:rPr>
                <w:rFonts w:ascii="Arial" w:hAnsi="Arial"/>
                <w:b w:val="0"/>
                <w:color w:val="1C1C1C"/>
                <w:sz w:val="20"/>
              </w:rPr>
              <w:t>2 weeks</w:t>
            </w:r>
          </w:p>
        </w:tc>
      </w:tr>
      <w:tr>
        <w:tc>
          <w:tcPr>
            <w:tcW w:type="dxa" w:w="4873"/>
          </w:tcPr>
          <w:p>
            <w:pPr>
              <w:spacing w:after="40"/>
            </w:pPr>
            <w:r/>
            <w:r>
              <w:rPr>
                <w:rFonts w:ascii="Arial" w:hAnsi="Arial"/>
                <w:b w:val="0"/>
                <w:color w:val="1C1C1C"/>
                <w:sz w:val="20"/>
              </w:rPr>
              <w:t>Concept design (SO)</w:t>
            </w:r>
          </w:p>
        </w:tc>
        <w:tc>
          <w:tcPr>
            <w:tcW w:type="dxa" w:w="4873"/>
          </w:tcPr>
          <w:p>
            <w:pPr>
              <w:spacing w:after="40"/>
            </w:pPr>
            <w:r/>
            <w:r>
              <w:rPr>
                <w:rFonts w:ascii="Arial" w:hAnsi="Arial"/>
                <w:b w:val="0"/>
                <w:color w:val="1C1C1C"/>
                <w:sz w:val="20"/>
              </w:rPr>
              <w:t>6 weeks</w:t>
            </w:r>
          </w:p>
        </w:tc>
      </w:tr>
      <w:tr>
        <w:tc>
          <w:tcPr>
            <w:tcW w:type="dxa" w:w="4873"/>
          </w:tcPr>
          <w:p>
            <w:pPr>
              <w:spacing w:after="40"/>
            </w:pPr>
            <w:r/>
            <w:r>
              <w:rPr>
                <w:rFonts w:ascii="Arial" w:hAnsi="Arial"/>
                <w:b w:val="0"/>
                <w:color w:val="1C1C1C"/>
                <w:sz w:val="20"/>
              </w:rPr>
              <w:t>Preliminary design (VO), incl. technical engineering</w:t>
            </w:r>
          </w:p>
        </w:tc>
        <w:tc>
          <w:tcPr>
            <w:tcW w:type="dxa" w:w="4873"/>
          </w:tcPr>
          <w:p>
            <w:pPr>
              <w:spacing w:after="40"/>
            </w:pPr>
            <w:r/>
            <w:r>
              <w:rPr>
                <w:rFonts w:ascii="Arial" w:hAnsi="Arial"/>
                <w:b w:val="0"/>
                <w:color w:val="1C1C1C"/>
                <w:sz w:val="20"/>
              </w:rPr>
              <w:t>8 weeks</w:t>
            </w:r>
          </w:p>
        </w:tc>
      </w:tr>
      <w:tr>
        <w:tc>
          <w:tcPr>
            <w:tcW w:type="dxa" w:w="4873"/>
          </w:tcPr>
          <w:p>
            <w:pPr>
              <w:spacing w:after="40"/>
            </w:pPr>
            <w:r/>
            <w:r>
              <w:rPr>
                <w:rFonts w:ascii="Arial" w:hAnsi="Arial"/>
                <w:b w:val="0"/>
                <w:color w:val="1C1C1C"/>
                <w:sz w:val="20"/>
              </w:rPr>
              <w:t>Final design (DO), ready for tender</w:t>
            </w:r>
          </w:p>
        </w:tc>
        <w:tc>
          <w:tcPr>
            <w:tcW w:type="dxa" w:w="4873"/>
          </w:tcPr>
          <w:p>
            <w:pPr>
              <w:spacing w:after="40"/>
            </w:pPr>
            <w:r/>
            <w:r>
              <w:rPr>
                <w:rFonts w:ascii="Arial" w:hAnsi="Arial"/>
                <w:b w:val="0"/>
                <w:color w:val="1C1C1C"/>
                <w:sz w:val="20"/>
              </w:rPr>
              <w:t>8 weeks</w:t>
            </w:r>
          </w:p>
        </w:tc>
      </w:tr>
      <w:tr>
        <w:tc>
          <w:tcPr>
            <w:tcW w:type="dxa" w:w="4873"/>
          </w:tcPr>
          <w:p>
            <w:pPr>
              <w:spacing w:after="40"/>
            </w:pPr>
            <w:r/>
            <w:r>
              <w:rPr>
                <w:rFonts w:ascii="Arial" w:hAnsi="Arial"/>
                <w:b w:val="0"/>
                <w:color w:val="1C1C1C"/>
                <w:sz w:val="20"/>
              </w:rPr>
              <w:t>Tender and contracting</w:t>
            </w:r>
          </w:p>
        </w:tc>
        <w:tc>
          <w:tcPr>
            <w:tcW w:type="dxa" w:w="4873"/>
          </w:tcPr>
          <w:p>
            <w:pPr>
              <w:spacing w:after="40"/>
            </w:pPr>
            <w:r/>
            <w:r>
              <w:rPr>
                <w:rFonts w:ascii="Arial" w:hAnsi="Arial"/>
                <w:b w:val="0"/>
                <w:color w:val="1C1C1C"/>
                <w:sz w:val="20"/>
              </w:rPr>
              <w:t>8 weeks</w:t>
            </w:r>
          </w:p>
        </w:tc>
      </w:tr>
      <w:tr>
        <w:tc>
          <w:tcPr>
            <w:tcW w:type="dxa" w:w="4873"/>
          </w:tcPr>
          <w:p>
            <w:pPr>
              <w:spacing w:after="40"/>
            </w:pPr>
            <w:r/>
            <w:r>
              <w:rPr>
                <w:rFonts w:ascii="Arial" w:hAnsi="Arial"/>
                <w:b w:val="0"/>
                <w:color w:val="1C1C1C"/>
                <w:sz w:val="20"/>
              </w:rPr>
              <w:t>Work preparation / engineering by contractor(s)</w:t>
            </w:r>
          </w:p>
        </w:tc>
        <w:tc>
          <w:tcPr>
            <w:tcW w:type="dxa" w:w="4873"/>
          </w:tcPr>
          <w:p>
            <w:pPr>
              <w:spacing w:after="40"/>
            </w:pPr>
            <w:r/>
            <w:r>
              <w:rPr>
                <w:rFonts w:ascii="Arial" w:hAnsi="Arial"/>
                <w:b w:val="0"/>
                <w:color w:val="1C1C1C"/>
                <w:sz w:val="20"/>
              </w:rPr>
              <w:t>6 weeks</w:t>
            </w:r>
          </w:p>
        </w:tc>
      </w:tr>
      <w:tr>
        <w:tc>
          <w:tcPr>
            <w:tcW w:type="dxa" w:w="4873"/>
          </w:tcPr>
          <w:p>
            <w:pPr>
              <w:spacing w:after="40"/>
            </w:pPr>
            <w:r/>
            <w:r>
              <w:rPr>
                <w:rFonts w:ascii="Arial" w:hAnsi="Arial"/>
                <w:b w:val="0"/>
                <w:color w:val="1C1C1C"/>
                <w:sz w:val="20"/>
              </w:rPr>
              <w:t>Construction, incl. cleanroom fit-out</w:t>
            </w:r>
          </w:p>
        </w:tc>
        <w:tc>
          <w:tcPr>
            <w:tcW w:type="dxa" w:w="4873"/>
          </w:tcPr>
          <w:p>
            <w:pPr>
              <w:spacing w:after="40"/>
            </w:pPr>
            <w:r/>
            <w:r>
              <w:rPr>
                <w:rFonts w:ascii="Arial" w:hAnsi="Arial"/>
                <w:b w:val="0"/>
                <w:color w:val="1C1C1C"/>
                <w:sz w:val="20"/>
              </w:rPr>
              <w:t>20 weeks</w:t>
            </w:r>
          </w:p>
        </w:tc>
      </w:tr>
      <w:tr>
        <w:tc>
          <w:tcPr>
            <w:tcW w:type="dxa" w:w="4873"/>
          </w:tcPr>
          <w:p>
            <w:pPr>
              <w:spacing w:after="40"/>
            </w:pPr>
            <w:r/>
            <w:r>
              <w:rPr>
                <w:rFonts w:ascii="Arial" w:hAnsi="Arial"/>
                <w:b w:val="0"/>
                <w:color w:val="1C1C1C"/>
                <w:sz w:val="20"/>
              </w:rPr>
              <w:t>Handover and move-in</w:t>
            </w:r>
          </w:p>
        </w:tc>
        <w:tc>
          <w:tcPr>
            <w:tcW w:type="dxa" w:w="4873"/>
          </w:tcPr>
          <w:p>
            <w:pPr>
              <w:spacing w:after="40"/>
            </w:pPr>
            <w:r/>
            <w:r>
              <w:rPr>
                <w:rFonts w:ascii="Arial" w:hAnsi="Arial"/>
                <w:b w:val="0"/>
                <w:color w:val="1C1C1C"/>
                <w:sz w:val="20"/>
              </w:rPr>
              <w:t>April 2027</w:t>
            </w:r>
          </w:p>
        </w:tc>
      </w:tr>
    </w:tbl>
    <w:p>
      <w:pPr>
        <w:spacing w:before="360" w:after="160"/>
      </w:pPr>
      <w:r>
        <w:rPr>
          <w:rFonts w:ascii="Arial" w:hAnsi="Arial"/>
          <w:b/>
          <w:color w:val="C3002B"/>
          <w:sz w:val="28"/>
        </w:rPr>
        <w:t>RATES.</w:t>
      </w:r>
    </w:p>
    <w:p>
      <w:pPr>
        <w:spacing w:after="120"/>
      </w:pPr>
      <w:r>
        <w:rPr>
          <w:rFonts w:ascii="Arial" w:hAnsi="Arial"/>
          <w:b w:val="0"/>
          <w:color w:val="1C1C1C"/>
          <w:sz w:val="20"/>
        </w:rPr>
        <w:t>We apply the following hourly rates (PDS 2026) in EUR, which will also form the basis for the fee proposals of the subsequent phases:</w:t>
      </w:r>
    </w:p>
    <w:tbl>
      <w:tblPr>
        <w:tblStyle w:val="TableGrid"/>
        <w:tblW w:type="auto" w:w="0"/>
        <w:jc w:val="left"/>
        <w:tblLook w:firstColumn="1" w:firstRow="1" w:lastColumn="0" w:lastRow="0" w:noHBand="0" w:noVBand="1" w:val="04A0"/>
      </w:tblPr>
      <w:tblGrid>
        <w:gridCol w:w="4873"/>
        <w:gridCol w:w="4873"/>
      </w:tblGrid>
      <w:tr>
        <w:tc>
          <w:tcPr>
            <w:tcW w:type="dxa" w:w="4873"/>
          </w:tcPr>
          <w:p>
            <w:pPr>
              <w:spacing w:after="40"/>
            </w:pPr>
            <w:r>
              <w:rPr>
                <w:b/>
                <w:color w:val="C3002B"/>
              </w:rPr>
            </w:r>
            <w:r>
              <w:rPr>
                <w:rFonts w:ascii="Arial" w:hAnsi="Arial"/>
                <w:b/>
                <w:color w:val="C3002B"/>
                <w:sz w:val="20"/>
              </w:rPr>
              <w:t>Role</w:t>
            </w:r>
          </w:p>
        </w:tc>
        <w:tc>
          <w:tcPr>
            <w:tcW w:type="dxa" w:w="4873"/>
          </w:tcPr>
          <w:p>
            <w:pPr>
              <w:spacing w:after="40"/>
            </w:pPr>
            <w:r>
              <w:rPr>
                <w:b/>
                <w:color w:val="C3002B"/>
              </w:rPr>
            </w:r>
            <w:r>
              <w:rPr>
                <w:rFonts w:ascii="Arial" w:hAnsi="Arial"/>
                <w:b/>
                <w:color w:val="C3002B"/>
                <w:sz w:val="20"/>
              </w:rPr>
              <w:t>Rate (EUR/h)</w:t>
            </w:r>
          </w:p>
        </w:tc>
      </w:tr>
      <w:tr>
        <w:tc>
          <w:tcPr>
            <w:tcW w:type="dxa" w:w="4873"/>
          </w:tcPr>
          <w:p>
            <w:pPr>
              <w:spacing w:after="40"/>
            </w:pPr>
            <w:r/>
            <w:r>
              <w:rPr>
                <w:rFonts w:ascii="Arial" w:hAnsi="Arial"/>
                <w:b w:val="0"/>
                <w:color w:val="1C1C1C"/>
                <w:sz w:val="20"/>
              </w:rPr>
              <w:t>Project manager jr.</w:t>
            </w:r>
          </w:p>
        </w:tc>
        <w:tc>
          <w:tcPr>
            <w:tcW w:type="dxa" w:w="4873"/>
          </w:tcPr>
          <w:p>
            <w:pPr>
              <w:spacing w:after="40"/>
            </w:pPr>
            <w:r/>
            <w:r>
              <w:rPr>
                <w:rFonts w:ascii="Arial" w:hAnsi="Arial"/>
                <w:b w:val="0"/>
                <w:color w:val="1C1C1C"/>
                <w:sz w:val="20"/>
              </w:rPr>
              <w:t>125,-</w:t>
            </w:r>
          </w:p>
        </w:tc>
      </w:tr>
      <w:tr>
        <w:tc>
          <w:tcPr>
            <w:tcW w:type="dxa" w:w="4873"/>
          </w:tcPr>
          <w:p>
            <w:pPr>
              <w:spacing w:after="40"/>
            </w:pPr>
            <w:r/>
            <w:r>
              <w:rPr>
                <w:rFonts w:ascii="Arial" w:hAnsi="Arial"/>
                <w:b w:val="0"/>
                <w:color w:val="1C1C1C"/>
                <w:sz w:val="20"/>
              </w:rPr>
              <w:t>Project manager</w:t>
            </w:r>
          </w:p>
        </w:tc>
        <w:tc>
          <w:tcPr>
            <w:tcW w:type="dxa" w:w="4873"/>
          </w:tcPr>
          <w:p>
            <w:pPr>
              <w:spacing w:after="40"/>
            </w:pPr>
            <w:r/>
            <w:r>
              <w:rPr>
                <w:rFonts w:ascii="Arial" w:hAnsi="Arial"/>
                <w:b w:val="0"/>
                <w:color w:val="1C1C1C"/>
                <w:sz w:val="20"/>
              </w:rPr>
              <w:t>140,-</w:t>
            </w:r>
          </w:p>
        </w:tc>
      </w:tr>
      <w:tr>
        <w:tc>
          <w:tcPr>
            <w:tcW w:type="dxa" w:w="4873"/>
          </w:tcPr>
          <w:p>
            <w:pPr>
              <w:spacing w:after="40"/>
            </w:pPr>
            <w:r/>
            <w:r>
              <w:rPr>
                <w:rFonts w:ascii="Arial" w:hAnsi="Arial"/>
                <w:b w:val="0"/>
                <w:color w:val="1C1C1C"/>
                <w:sz w:val="20"/>
              </w:rPr>
              <w:t>Project manager sr.</w:t>
            </w:r>
          </w:p>
        </w:tc>
        <w:tc>
          <w:tcPr>
            <w:tcW w:type="dxa" w:w="4873"/>
          </w:tcPr>
          <w:p>
            <w:pPr>
              <w:spacing w:after="40"/>
            </w:pPr>
            <w:r/>
            <w:r>
              <w:rPr>
                <w:rFonts w:ascii="Arial" w:hAnsi="Arial"/>
                <w:b w:val="0"/>
                <w:color w:val="1C1C1C"/>
                <w:sz w:val="20"/>
              </w:rPr>
              <w:t>155,-</w:t>
            </w:r>
          </w:p>
        </w:tc>
      </w:tr>
      <w:tr>
        <w:tc>
          <w:tcPr>
            <w:tcW w:type="dxa" w:w="4873"/>
          </w:tcPr>
          <w:p>
            <w:pPr>
              <w:spacing w:after="40"/>
            </w:pPr>
            <w:r/>
            <w:r>
              <w:rPr>
                <w:rFonts w:ascii="Arial" w:hAnsi="Arial"/>
                <w:b w:val="0"/>
                <w:color w:val="1C1C1C"/>
                <w:sz w:val="20"/>
              </w:rPr>
              <w:t>Site manager</w:t>
            </w:r>
          </w:p>
        </w:tc>
        <w:tc>
          <w:tcPr>
            <w:tcW w:type="dxa" w:w="4873"/>
          </w:tcPr>
          <w:p>
            <w:pPr>
              <w:spacing w:after="40"/>
            </w:pPr>
            <w:r/>
            <w:r>
              <w:rPr>
                <w:rFonts w:ascii="Arial" w:hAnsi="Arial"/>
                <w:b w:val="0"/>
                <w:color w:val="1C1C1C"/>
                <w:sz w:val="20"/>
              </w:rPr>
              <w:t>140,-</w:t>
            </w:r>
          </w:p>
        </w:tc>
      </w:tr>
      <w:tr>
        <w:tc>
          <w:tcPr>
            <w:tcW w:type="dxa" w:w="4873"/>
          </w:tcPr>
          <w:p>
            <w:pPr>
              <w:spacing w:after="40"/>
            </w:pPr>
            <w:r/>
            <w:r>
              <w:rPr>
                <w:rFonts w:ascii="Arial" w:hAnsi="Arial"/>
                <w:b w:val="0"/>
                <w:color w:val="1C1C1C"/>
                <w:sz w:val="20"/>
              </w:rPr>
              <w:t>Site manager sr.</w:t>
            </w:r>
          </w:p>
        </w:tc>
        <w:tc>
          <w:tcPr>
            <w:tcW w:type="dxa" w:w="4873"/>
          </w:tcPr>
          <w:p>
            <w:pPr>
              <w:spacing w:after="40"/>
            </w:pPr>
            <w:r/>
            <w:r>
              <w:rPr>
                <w:rFonts w:ascii="Arial" w:hAnsi="Arial"/>
                <w:b w:val="0"/>
                <w:color w:val="1C1C1C"/>
                <w:sz w:val="20"/>
              </w:rPr>
              <w:t>155,-</w:t>
            </w:r>
          </w:p>
        </w:tc>
      </w:tr>
      <w:tr>
        <w:tc>
          <w:tcPr>
            <w:tcW w:type="dxa" w:w="4873"/>
          </w:tcPr>
          <w:p>
            <w:pPr>
              <w:spacing w:after="40"/>
            </w:pPr>
            <w:r/>
            <w:r>
              <w:rPr>
                <w:rFonts w:ascii="Arial" w:hAnsi="Arial"/>
                <w:b w:val="0"/>
                <w:color w:val="1C1C1C"/>
                <w:sz w:val="20"/>
              </w:rPr>
              <w:t>Building surveyor jr.</w:t>
            </w:r>
          </w:p>
        </w:tc>
        <w:tc>
          <w:tcPr>
            <w:tcW w:type="dxa" w:w="4873"/>
          </w:tcPr>
          <w:p>
            <w:pPr>
              <w:spacing w:after="40"/>
            </w:pPr>
            <w:r/>
            <w:r>
              <w:rPr>
                <w:rFonts w:ascii="Arial" w:hAnsi="Arial"/>
                <w:b w:val="0"/>
                <w:color w:val="1C1C1C"/>
                <w:sz w:val="20"/>
              </w:rPr>
              <w:t>125,-</w:t>
            </w:r>
          </w:p>
        </w:tc>
      </w:tr>
      <w:tr>
        <w:tc>
          <w:tcPr>
            <w:tcW w:type="dxa" w:w="4873"/>
          </w:tcPr>
          <w:p>
            <w:pPr>
              <w:spacing w:after="40"/>
            </w:pPr>
            <w:r/>
            <w:r>
              <w:rPr>
                <w:rFonts w:ascii="Arial" w:hAnsi="Arial"/>
                <w:b w:val="0"/>
                <w:color w:val="1C1C1C"/>
                <w:sz w:val="20"/>
              </w:rPr>
              <w:t>Building surveyor</w:t>
            </w:r>
          </w:p>
        </w:tc>
        <w:tc>
          <w:tcPr>
            <w:tcW w:type="dxa" w:w="4873"/>
          </w:tcPr>
          <w:p>
            <w:pPr>
              <w:spacing w:after="40"/>
            </w:pPr>
            <w:r/>
            <w:r>
              <w:rPr>
                <w:rFonts w:ascii="Arial" w:hAnsi="Arial"/>
                <w:b w:val="0"/>
                <w:color w:val="1C1C1C"/>
                <w:sz w:val="20"/>
              </w:rPr>
              <w:t>140,-</w:t>
            </w:r>
          </w:p>
        </w:tc>
      </w:tr>
      <w:tr>
        <w:tc>
          <w:tcPr>
            <w:tcW w:type="dxa" w:w="4873"/>
          </w:tcPr>
          <w:p>
            <w:pPr>
              <w:spacing w:after="40"/>
            </w:pPr>
            <w:r/>
            <w:r>
              <w:rPr>
                <w:rFonts w:ascii="Arial" w:hAnsi="Arial"/>
                <w:b w:val="0"/>
                <w:color w:val="1C1C1C"/>
                <w:sz w:val="20"/>
              </w:rPr>
              <w:t>Building surveyor sr.</w:t>
            </w:r>
          </w:p>
        </w:tc>
        <w:tc>
          <w:tcPr>
            <w:tcW w:type="dxa" w:w="4873"/>
          </w:tcPr>
          <w:p>
            <w:pPr>
              <w:spacing w:after="40"/>
            </w:pPr>
            <w:r/>
            <w:r>
              <w:rPr>
                <w:rFonts w:ascii="Arial" w:hAnsi="Arial"/>
                <w:b w:val="0"/>
                <w:color w:val="1C1C1C"/>
                <w:sz w:val="20"/>
              </w:rPr>
              <w:t>155,-</w:t>
            </w:r>
          </w:p>
        </w:tc>
      </w:tr>
      <w:tr>
        <w:tc>
          <w:tcPr>
            <w:tcW w:type="dxa" w:w="4873"/>
          </w:tcPr>
          <w:p>
            <w:pPr>
              <w:spacing w:after="40"/>
            </w:pPr>
            <w:r/>
            <w:r>
              <w:rPr>
                <w:rFonts w:ascii="Arial" w:hAnsi="Arial"/>
                <w:b w:val="0"/>
                <w:color w:val="1C1C1C"/>
                <w:sz w:val="20"/>
              </w:rPr>
              <w:t>Cost consultant</w:t>
            </w:r>
          </w:p>
        </w:tc>
        <w:tc>
          <w:tcPr>
            <w:tcW w:type="dxa" w:w="4873"/>
          </w:tcPr>
          <w:p>
            <w:pPr>
              <w:spacing w:after="40"/>
            </w:pPr>
            <w:r/>
            <w:r>
              <w:rPr>
                <w:rFonts w:ascii="Arial" w:hAnsi="Arial"/>
                <w:b w:val="0"/>
                <w:color w:val="1C1C1C"/>
                <w:sz w:val="20"/>
              </w:rPr>
              <w:t>175,-</w:t>
            </w:r>
          </w:p>
        </w:tc>
      </w:tr>
      <w:tr>
        <w:tc>
          <w:tcPr>
            <w:tcW w:type="dxa" w:w="4873"/>
          </w:tcPr>
          <w:p>
            <w:pPr>
              <w:spacing w:after="40"/>
            </w:pPr>
            <w:r/>
            <w:r>
              <w:rPr>
                <w:rFonts w:ascii="Arial" w:hAnsi="Arial"/>
                <w:b w:val="0"/>
                <w:color w:val="1C1C1C"/>
                <w:sz w:val="20"/>
              </w:rPr>
              <w:t>MEP consultant</w:t>
            </w:r>
          </w:p>
        </w:tc>
        <w:tc>
          <w:tcPr>
            <w:tcW w:type="dxa" w:w="4873"/>
          </w:tcPr>
          <w:p>
            <w:pPr>
              <w:spacing w:after="40"/>
            </w:pPr>
            <w:r/>
            <w:r>
              <w:rPr>
                <w:rFonts w:ascii="Arial" w:hAnsi="Arial"/>
                <w:b w:val="0"/>
                <w:color w:val="1C1C1C"/>
                <w:sz w:val="20"/>
              </w:rPr>
              <w:t>175,-</w:t>
            </w:r>
          </w:p>
        </w:tc>
      </w:tr>
      <w:tr>
        <w:tc>
          <w:tcPr>
            <w:tcW w:type="dxa" w:w="4873"/>
          </w:tcPr>
          <w:p>
            <w:pPr>
              <w:spacing w:after="40"/>
            </w:pPr>
            <w:r/>
            <w:r>
              <w:rPr>
                <w:rFonts w:ascii="Arial" w:hAnsi="Arial"/>
                <w:b w:val="0"/>
                <w:color w:val="1C1C1C"/>
                <w:sz w:val="20"/>
              </w:rPr>
              <w:t>Technical designer sr.</w:t>
            </w:r>
          </w:p>
        </w:tc>
        <w:tc>
          <w:tcPr>
            <w:tcW w:type="dxa" w:w="4873"/>
          </w:tcPr>
          <w:p>
            <w:pPr>
              <w:spacing w:after="40"/>
            </w:pPr>
            <w:r/>
            <w:r>
              <w:rPr>
                <w:rFonts w:ascii="Arial" w:hAnsi="Arial"/>
                <w:b w:val="0"/>
                <w:color w:val="1C1C1C"/>
                <w:sz w:val="20"/>
              </w:rPr>
              <w:t>135,-</w:t>
            </w:r>
          </w:p>
        </w:tc>
      </w:tr>
      <w:tr>
        <w:tc>
          <w:tcPr>
            <w:tcW w:type="dxa" w:w="4873"/>
          </w:tcPr>
          <w:p>
            <w:pPr>
              <w:spacing w:after="40"/>
            </w:pPr>
            <w:r/>
            <w:r>
              <w:rPr>
                <w:rFonts w:ascii="Arial" w:hAnsi="Arial"/>
                <w:b w:val="0"/>
                <w:color w:val="1C1C1C"/>
                <w:sz w:val="20"/>
              </w:rPr>
              <w:t>Architect jr.</w:t>
            </w:r>
          </w:p>
        </w:tc>
        <w:tc>
          <w:tcPr>
            <w:tcW w:type="dxa" w:w="4873"/>
          </w:tcPr>
          <w:p>
            <w:pPr>
              <w:spacing w:after="40"/>
            </w:pPr>
            <w:r/>
            <w:r>
              <w:rPr>
                <w:rFonts w:ascii="Arial" w:hAnsi="Arial"/>
                <w:b w:val="0"/>
                <w:color w:val="1C1C1C"/>
                <w:sz w:val="20"/>
              </w:rPr>
              <w:t>110,-</w:t>
            </w:r>
          </w:p>
        </w:tc>
      </w:tr>
      <w:tr>
        <w:tc>
          <w:tcPr>
            <w:tcW w:type="dxa" w:w="4873"/>
          </w:tcPr>
          <w:p>
            <w:pPr>
              <w:spacing w:after="40"/>
            </w:pPr>
            <w:r/>
            <w:r>
              <w:rPr>
                <w:rFonts w:ascii="Arial" w:hAnsi="Arial"/>
                <w:b w:val="0"/>
                <w:color w:val="1C1C1C"/>
                <w:sz w:val="20"/>
              </w:rPr>
              <w:t>Architect</w:t>
            </w:r>
          </w:p>
        </w:tc>
        <w:tc>
          <w:tcPr>
            <w:tcW w:type="dxa" w:w="4873"/>
          </w:tcPr>
          <w:p>
            <w:pPr>
              <w:spacing w:after="40"/>
            </w:pPr>
            <w:r/>
            <w:r>
              <w:rPr>
                <w:rFonts w:ascii="Arial" w:hAnsi="Arial"/>
                <w:b w:val="0"/>
                <w:color w:val="1C1C1C"/>
                <w:sz w:val="20"/>
              </w:rPr>
              <w:t>125,-</w:t>
            </w:r>
          </w:p>
        </w:tc>
      </w:tr>
      <w:tr>
        <w:tc>
          <w:tcPr>
            <w:tcW w:type="dxa" w:w="4873"/>
          </w:tcPr>
          <w:p>
            <w:pPr>
              <w:spacing w:after="40"/>
            </w:pPr>
            <w:r/>
            <w:r>
              <w:rPr>
                <w:rFonts w:ascii="Arial" w:hAnsi="Arial"/>
                <w:b w:val="0"/>
                <w:color w:val="1C1C1C"/>
                <w:sz w:val="20"/>
              </w:rPr>
              <w:t>Architect sr.</w:t>
            </w:r>
          </w:p>
        </w:tc>
        <w:tc>
          <w:tcPr>
            <w:tcW w:type="dxa" w:w="4873"/>
          </w:tcPr>
          <w:p>
            <w:pPr>
              <w:spacing w:after="40"/>
            </w:pPr>
            <w:r/>
            <w:r>
              <w:rPr>
                <w:rFonts w:ascii="Arial" w:hAnsi="Arial"/>
                <w:b w:val="0"/>
                <w:color w:val="1C1C1C"/>
                <w:sz w:val="20"/>
              </w:rPr>
              <w:t>135,-</w:t>
            </w:r>
          </w:p>
        </w:tc>
      </w:tr>
      <w:tr>
        <w:tc>
          <w:tcPr>
            <w:tcW w:type="dxa" w:w="4873"/>
          </w:tcPr>
          <w:p>
            <w:pPr>
              <w:spacing w:after="40"/>
            </w:pPr>
            <w:r/>
            <w:r>
              <w:rPr>
                <w:rFonts w:ascii="Arial" w:hAnsi="Arial"/>
                <w:b w:val="0"/>
                <w:color w:val="1C1C1C"/>
                <w:sz w:val="20"/>
              </w:rPr>
              <w:t>Associate Architect</w:t>
            </w:r>
          </w:p>
        </w:tc>
        <w:tc>
          <w:tcPr>
            <w:tcW w:type="dxa" w:w="4873"/>
          </w:tcPr>
          <w:p>
            <w:pPr>
              <w:spacing w:after="40"/>
            </w:pPr>
            <w:r/>
            <w:r>
              <w:rPr>
                <w:rFonts w:ascii="Arial" w:hAnsi="Arial"/>
                <w:b w:val="0"/>
                <w:color w:val="1C1C1C"/>
                <w:sz w:val="20"/>
              </w:rPr>
              <w:t>150,-</w:t>
            </w:r>
          </w:p>
        </w:tc>
      </w:tr>
      <w:tr>
        <w:tc>
          <w:tcPr>
            <w:tcW w:type="dxa" w:w="4873"/>
          </w:tcPr>
          <w:p>
            <w:pPr>
              <w:spacing w:after="40"/>
            </w:pPr>
            <w:r/>
            <w:r>
              <w:rPr>
                <w:rFonts w:ascii="Arial" w:hAnsi="Arial"/>
                <w:b w:val="0"/>
                <w:color w:val="1C1C1C"/>
                <w:sz w:val="20"/>
              </w:rPr>
              <w:t>Interior Architect</w:t>
            </w:r>
          </w:p>
        </w:tc>
        <w:tc>
          <w:tcPr>
            <w:tcW w:type="dxa" w:w="4873"/>
          </w:tcPr>
          <w:p>
            <w:pPr>
              <w:spacing w:after="40"/>
            </w:pPr>
            <w:r/>
            <w:r>
              <w:rPr>
                <w:rFonts w:ascii="Arial" w:hAnsi="Arial"/>
                <w:b w:val="0"/>
                <w:color w:val="1C1C1C"/>
                <w:sz w:val="20"/>
              </w:rPr>
              <w:t>120,-</w:t>
            </w:r>
          </w:p>
        </w:tc>
      </w:tr>
      <w:tr>
        <w:tc>
          <w:tcPr>
            <w:tcW w:type="dxa" w:w="4873"/>
          </w:tcPr>
          <w:p>
            <w:pPr>
              <w:spacing w:after="40"/>
            </w:pPr>
            <w:r/>
            <w:r>
              <w:rPr>
                <w:rFonts w:ascii="Arial" w:hAnsi="Arial"/>
                <w:b w:val="0"/>
                <w:color w:val="1C1C1C"/>
                <w:sz w:val="20"/>
              </w:rPr>
              <w:t>Interior Architect sr.</w:t>
            </w:r>
          </w:p>
        </w:tc>
        <w:tc>
          <w:tcPr>
            <w:tcW w:type="dxa" w:w="4873"/>
          </w:tcPr>
          <w:p>
            <w:pPr>
              <w:spacing w:after="40"/>
            </w:pPr>
            <w:r/>
            <w:r>
              <w:rPr>
                <w:rFonts w:ascii="Arial" w:hAnsi="Arial"/>
                <w:b w:val="0"/>
                <w:color w:val="1C1C1C"/>
                <w:sz w:val="20"/>
              </w:rPr>
              <w:t>135,-</w:t>
            </w:r>
          </w:p>
        </w:tc>
      </w:tr>
      <w:tr>
        <w:tc>
          <w:tcPr>
            <w:tcW w:type="dxa" w:w="4873"/>
          </w:tcPr>
          <w:p>
            <w:pPr>
              <w:spacing w:after="40"/>
            </w:pPr>
            <w:r/>
            <w:r>
              <w:rPr>
                <w:rFonts w:ascii="Arial" w:hAnsi="Arial"/>
                <w:b w:val="0"/>
                <w:color w:val="1C1C1C"/>
                <w:sz w:val="20"/>
              </w:rPr>
              <w:t>Consultant sustainability</w:t>
            </w:r>
          </w:p>
        </w:tc>
        <w:tc>
          <w:tcPr>
            <w:tcW w:type="dxa" w:w="4873"/>
          </w:tcPr>
          <w:p>
            <w:pPr>
              <w:spacing w:after="40"/>
            </w:pPr>
            <w:r/>
            <w:r>
              <w:rPr>
                <w:rFonts w:ascii="Arial" w:hAnsi="Arial"/>
                <w:b w:val="0"/>
                <w:color w:val="1C1C1C"/>
                <w:sz w:val="20"/>
              </w:rPr>
              <w:t>135,-</w:t>
            </w:r>
          </w:p>
        </w:tc>
      </w:tr>
      <w:tr>
        <w:tc>
          <w:tcPr>
            <w:tcW w:type="dxa" w:w="4873"/>
          </w:tcPr>
          <w:p>
            <w:pPr>
              <w:spacing w:after="40"/>
            </w:pPr>
            <w:r/>
            <w:r>
              <w:rPr>
                <w:rFonts w:ascii="Arial" w:hAnsi="Arial"/>
                <w:b w:val="0"/>
                <w:color w:val="1C1C1C"/>
                <w:sz w:val="20"/>
              </w:rPr>
              <w:t>Consultant sustainability sr.</w:t>
            </w:r>
          </w:p>
        </w:tc>
        <w:tc>
          <w:tcPr>
            <w:tcW w:type="dxa" w:w="4873"/>
          </w:tcPr>
          <w:p>
            <w:pPr>
              <w:spacing w:after="40"/>
            </w:pPr>
            <w:r/>
            <w:r>
              <w:rPr>
                <w:rFonts w:ascii="Arial" w:hAnsi="Arial"/>
                <w:b w:val="0"/>
                <w:color w:val="1C1C1C"/>
                <w:sz w:val="20"/>
              </w:rPr>
              <w:t>145,-</w:t>
            </w:r>
          </w:p>
        </w:tc>
      </w:tr>
      <w:tr>
        <w:tc>
          <w:tcPr>
            <w:tcW w:type="dxa" w:w="4873"/>
          </w:tcPr>
          <w:p>
            <w:pPr>
              <w:spacing w:after="40"/>
            </w:pPr>
            <w:r/>
            <w:r>
              <w:rPr>
                <w:rFonts w:ascii="Arial" w:hAnsi="Arial"/>
                <w:b w:val="0"/>
                <w:color w:val="1C1C1C"/>
                <w:sz w:val="20"/>
              </w:rPr>
              <w:t>Associate Director</w:t>
            </w:r>
          </w:p>
        </w:tc>
        <w:tc>
          <w:tcPr>
            <w:tcW w:type="dxa" w:w="4873"/>
          </w:tcPr>
          <w:p>
            <w:pPr>
              <w:spacing w:after="40"/>
            </w:pPr>
            <w:r/>
            <w:r>
              <w:rPr>
                <w:rFonts w:ascii="Arial" w:hAnsi="Arial"/>
                <w:b w:val="0"/>
                <w:color w:val="1C1C1C"/>
                <w:sz w:val="20"/>
              </w:rPr>
              <w:t>175,-</w:t>
            </w:r>
          </w:p>
        </w:tc>
      </w:tr>
      <w:tr>
        <w:tc>
          <w:tcPr>
            <w:tcW w:type="dxa" w:w="4873"/>
          </w:tcPr>
          <w:p>
            <w:pPr>
              <w:spacing w:after="40"/>
            </w:pPr>
            <w:r/>
            <w:r>
              <w:rPr>
                <w:rFonts w:ascii="Arial" w:hAnsi="Arial"/>
                <w:b w:val="0"/>
                <w:color w:val="1C1C1C"/>
                <w:sz w:val="20"/>
              </w:rPr>
              <w:t>Partner</w:t>
            </w:r>
          </w:p>
        </w:tc>
        <w:tc>
          <w:tcPr>
            <w:tcW w:type="dxa" w:w="4873"/>
          </w:tcPr>
          <w:p>
            <w:pPr>
              <w:spacing w:after="40"/>
            </w:pPr>
            <w:r/>
            <w:r>
              <w:rPr>
                <w:rFonts w:ascii="Arial" w:hAnsi="Arial"/>
                <w:b w:val="0"/>
                <w:color w:val="1C1C1C"/>
                <w:sz w:val="20"/>
              </w:rPr>
              <w:t>225,-</w:t>
            </w:r>
          </w:p>
        </w:tc>
      </w:tr>
    </w:tbl>
    <w:p>
      <w:pPr>
        <w:spacing w:before="360" w:after="160"/>
      </w:pPr>
      <w:r>
        <w:rPr>
          <w:rFonts w:ascii="Arial" w:hAnsi="Arial"/>
          <w:b/>
          <w:color w:val="C3002B"/>
          <w:sz w:val="28"/>
        </w:rPr>
        <w:t>INVOICING.</w:t>
      </w:r>
    </w:p>
    <w:p>
      <w:pPr>
        <w:spacing w:after="120"/>
      </w:pPr>
      <w:r>
        <w:rPr>
          <w:rFonts w:ascii="Arial" w:hAnsi="Arial"/>
          <w:b w:val="0"/>
          <w:color w:val="1C1C1C"/>
          <w:sz w:val="20"/>
        </w:rPr>
        <w:t>We will invoice the fixed fee for Phase 1 upon delivery of the project plan. We expect full payment of our invoice within 30 days of the invoice date. If you require a PO number on our invoice, or if the invoicing details need to be adjusted, please let us know.</w:t>
      </w:r>
    </w:p>
    <w:p>
      <w:pPr>
        <w:spacing w:before="360" w:after="160"/>
      </w:pPr>
      <w:r>
        <w:rPr>
          <w:rFonts w:ascii="Arial" w:hAnsi="Arial"/>
          <w:b/>
          <w:color w:val="C3002B"/>
          <w:sz w:val="28"/>
        </w:rPr>
        <w:t>CLIENT.</w:t>
      </w:r>
    </w:p>
    <w:p>
      <w:pPr>
        <w:spacing w:after="120"/>
      </w:pPr>
      <w:r>
        <w:rPr>
          <w:rFonts w:ascii="Arial" w:hAnsi="Arial"/>
          <w:b w:val="0"/>
          <w:color w:val="1C1C1C"/>
          <w:sz w:val="20"/>
        </w:rPr>
        <w:t>Teledyne</w:t>
      </w:r>
    </w:p>
    <w:p>
      <w:pPr>
        <w:spacing w:after="120"/>
      </w:pPr>
      <w:r>
        <w:rPr>
          <w:rFonts w:ascii="Arial" w:hAnsi="Arial"/>
          <w:b w:val="0"/>
          <w:color w:val="1C1C1C"/>
          <w:sz w:val="20"/>
        </w:rPr>
        <w:t>Attn. Mr. P. Kilkens, Vice President Global Operations</w:t>
      </w:r>
    </w:p>
    <w:p>
      <w:pPr>
        <w:spacing w:after="120"/>
      </w:pPr>
      <w:r>
        <w:rPr>
          <w:rFonts w:ascii="Arial" w:hAnsi="Arial"/>
          <w:b w:val="0"/>
          <w:color w:val="1C1C1C"/>
          <w:sz w:val="20"/>
        </w:rPr>
        <w:t>High Tech Campus 6, Eindhoven</w:t>
      </w:r>
    </w:p>
    <w:p>
      <w:pPr>
        <w:spacing w:after="120"/>
      </w:pPr>
      <w:r>
        <w:rPr>
          <w:rFonts w:ascii="Arial" w:hAnsi="Arial"/>
          <w:b w:val="0"/>
          <w:color w:val="1C1C1C"/>
          <w:sz w:val="20"/>
        </w:rPr>
        <w:t>[invoicing entity and address to be confirmed]</w:t>
      </w:r>
    </w:p>
    <w:p>
      <w:pPr>
        <w:spacing w:before="360" w:after="160"/>
      </w:pPr>
      <w:r>
        <w:rPr>
          <w:rFonts w:ascii="Arial" w:hAnsi="Arial"/>
          <w:b/>
          <w:color w:val="C3002B"/>
          <w:sz w:val="28"/>
        </w:rPr>
        <w:t>TERMS AND CONDITIONS.</w:t>
      </w:r>
    </w:p>
    <w:p>
      <w:pPr>
        <w:spacing w:after="120"/>
      </w:pPr>
      <w:r>
        <w:rPr>
          <w:rFonts w:ascii="Arial" w:hAnsi="Arial"/>
          <w:b w:val="0"/>
          <w:color w:val="1C1C1C"/>
          <w:sz w:val="20"/>
        </w:rPr>
        <w:t>De Nieuwe Regeling 2011 (DNR 2011) applies to our proposal. A copy of the DNR 2011 is enclosed with this proposal.</w:t>
      </w:r>
    </w:p>
    <w:p>
      <w:pPr>
        <w:spacing w:after="120"/>
      </w:pPr>
      <w:r>
        <w:rPr>
          <w:rFonts w:ascii="Arial" w:hAnsi="Arial"/>
          <w:b w:val="0"/>
          <w:color w:val="1C1C1C"/>
          <w:sz w:val="20"/>
        </w:rPr>
        <w:t>All amounts stated are exclusive of VAT and inclusive of travel and accommodation expenses within the Netherlands.</w:t>
      </w:r>
    </w:p>
    <w:p>
      <w:pPr>
        <w:spacing w:after="120"/>
      </w:pPr>
      <w:r>
        <w:rPr>
          <w:rFonts w:ascii="Arial" w:hAnsi="Arial"/>
          <w:b w:val="0"/>
          <w:color w:val="1C1C1C"/>
          <w:sz w:val="20"/>
        </w:rPr>
        <w:t>For our privacy policy, please refer to our website: https://www.cushmanwakefield.com/en/emea-and-california-privacy-notice</w:t>
      </w:r>
    </w:p>
    <w:p>
      <w:pPr>
        <w:spacing w:after="120"/>
      </w:pPr>
      <w:r>
        <w:rPr>
          <w:rFonts w:ascii="Arial" w:hAnsi="Arial"/>
          <w:b w:val="0"/>
          <w:color w:val="1C1C1C"/>
          <w:sz w:val="20"/>
        </w:rPr>
        <w:t>Thank you for your interest in our services. We hope that our proposal meets your expectations. Please do not hesitate to contact us if you have any questions or require additional information.</w:t>
      </w:r>
    </w:p>
    <w:p>
      <w:pPr>
        <w:spacing w:after="120"/>
      </w:pPr>
      <w:r>
        <w:rPr>
          <w:rFonts w:ascii="Arial" w:hAnsi="Arial"/>
          <w:b w:val="0"/>
          <w:color w:val="1C1C1C"/>
          <w:sz w:val="20"/>
        </w:rPr>
        <w:t>If you agree with the content of this proposal and wish to commission these services, we kindly request that you return the signed proposal to us. Once approved and signed, we can start the work within two weeks.</w:t>
      </w:r>
    </w:p>
    <w:p>
      <w:pPr>
        <w:spacing w:after="120"/>
      </w:pPr>
      <w:r>
        <w:rPr>
          <w:rFonts w:ascii="Arial" w:hAnsi="Arial"/>
          <w:b w:val="0"/>
          <w:color w:val="1C1C1C"/>
          <w:sz w:val="20"/>
        </w:rPr>
      </w:r>
    </w:p>
    <w:tbl>
      <w:tblPr>
        <w:tblW w:type="auto" w:w="0"/>
        <w:tblLook w:firstColumn="1" w:firstRow="1" w:lastColumn="0" w:lastRow="0" w:noHBand="0" w:noVBand="1" w:val="04A0"/>
      </w:tblPr>
      <w:tblGrid>
        <w:gridCol w:w="4873"/>
        <w:gridCol w:w="4873"/>
      </w:tblGrid>
      <w:tr>
        <w:tc>
          <w:tcPr>
            <w:tcW w:type="dxa" w:w="4873"/>
          </w:tcPr>
          <w:p>
            <w:pPr>
              <w:spacing w:after="40"/>
            </w:pPr>
            <w:r/>
            <w:r>
              <w:rPr>
                <w:rFonts w:ascii="Arial" w:hAnsi="Arial"/>
                <w:b/>
                <w:color w:val="1C1C1C"/>
                <w:sz w:val="20"/>
              </w:rPr>
              <w:t>Kind regards,</w:t>
            </w:r>
          </w:p>
        </w:tc>
        <w:tc>
          <w:tcPr>
            <w:tcW w:type="dxa" w:w="4873"/>
          </w:tcPr>
          <w:p>
            <w:pPr>
              <w:spacing w:after="40"/>
            </w:pPr>
            <w:r/>
            <w:r>
              <w:rPr>
                <w:rFonts w:ascii="Arial" w:hAnsi="Arial"/>
                <w:b/>
                <w:color w:val="1C1C1C"/>
                <w:sz w:val="20"/>
              </w:rPr>
              <w:t>For approval:</w:t>
            </w:r>
          </w:p>
        </w:tc>
      </w:tr>
      <w:tr>
        <w:tc>
          <w:tcPr>
            <w:tcW w:type="dxa" w:w="4873"/>
          </w:tcPr>
          <w:p>
            <w:pPr>
              <w:spacing w:after="40"/>
            </w:pPr>
            <w:r/>
            <w:r>
              <w:rPr>
                <w:rFonts w:ascii="Arial" w:hAnsi="Arial"/>
                <w:b/>
                <w:color w:val="1C1C1C"/>
                <w:sz w:val="20"/>
              </w:rPr>
              <w:t>Cushman &amp; Wakefield Netherlands B.V.</w:t>
            </w:r>
          </w:p>
        </w:tc>
        <w:tc>
          <w:tcPr>
            <w:tcW w:type="dxa" w:w="4873"/>
          </w:tcPr>
          <w:p>
            <w:pPr>
              <w:spacing w:after="40"/>
            </w:pPr>
            <w:r/>
            <w:r>
              <w:rPr>
                <w:rFonts w:ascii="Arial" w:hAnsi="Arial"/>
                <w:b/>
                <w:color w:val="1C1C1C"/>
                <w:sz w:val="20"/>
              </w:rPr>
              <w:t>Teledyne</w:t>
            </w:r>
          </w:p>
        </w:tc>
      </w:tr>
      <w:tr>
        <w:tc>
          <w:tcPr>
            <w:tcW w:type="dxa" w:w="4873"/>
          </w:tcPr>
          <w:p>
            <w:pPr>
              <w:spacing w:after="40"/>
            </w:pPr>
            <w:r/>
            <w:r>
              <w:rPr>
                <w:rFonts w:ascii="Arial" w:hAnsi="Arial"/>
                <w:b w:val="0"/>
                <w:color w:val="1C1C1C"/>
                <w:sz w:val="20"/>
              </w:rPr>
              <w:t>Project &amp; Development Services</w:t>
            </w:r>
          </w:p>
        </w:tc>
        <w:tc>
          <w:tcPr>
            <w:tcW w:type="dxa" w:w="4873"/>
          </w:tcPr>
          <w:p>
            <w:pPr>
              <w:spacing w:after="40"/>
            </w:pPr>
            <w:r/>
            <w:r>
              <w:rPr>
                <w:rFonts w:ascii="Arial" w:hAnsi="Arial"/>
                <w:b w:val="0"/>
                <w:color w:val="1C1C1C"/>
                <w:sz w:val="20"/>
              </w:rPr>
            </w:r>
          </w:p>
        </w:tc>
      </w:tr>
      <w:tr>
        <w:tc>
          <w:tcPr>
            <w:tcW w:type="dxa" w:w="4873"/>
          </w:tcPr>
          <w:p>
            <w:pPr>
              <w:spacing w:after="40"/>
            </w:pPr>
            <w:r/>
            <w:r>
              <w:rPr>
                <w:rFonts w:ascii="Arial" w:hAnsi="Arial"/>
                <w:b w:val="0"/>
                <w:color w:val="1C1C1C"/>
                <w:sz w:val="20"/>
              </w:rPr>
              <w:t>i/o</w:t>
            </w:r>
          </w:p>
        </w:tc>
        <w:tc>
          <w:tcPr>
            <w:tcW w:type="dxa" w:w="4873"/>
          </w:tcPr>
          <w:p>
            <w:pPr>
              <w:spacing w:after="40"/>
            </w:pPr>
            <w:r/>
            <w:r>
              <w:rPr>
                <w:rFonts w:ascii="Arial" w:hAnsi="Arial"/>
                <w:b w:val="0"/>
                <w:color w:val="1C1C1C"/>
                <w:sz w:val="20"/>
              </w:rPr>
              <w:t>Date: ……… - ……… - ………</w:t>
            </w:r>
          </w:p>
        </w:tc>
      </w:tr>
      <w:tr>
        <w:tc>
          <w:tcPr>
            <w:tcW w:type="dxa" w:w="4873"/>
          </w:tcPr>
          <w:p>
            <w:pPr>
              <w:spacing w:after="40"/>
            </w:pPr>
            <w:r/>
            <w:r>
              <w:rPr>
                <w:rFonts w:ascii="Arial" w:hAnsi="Arial"/>
                <w:b w:val="0"/>
                <w:color w:val="1C1C1C"/>
                <w:sz w:val="20"/>
              </w:rPr>
              <w:t>Annelou de Groot</w:t>
            </w:r>
          </w:p>
        </w:tc>
        <w:tc>
          <w:tcPr>
            <w:tcW w:type="dxa" w:w="4873"/>
          </w:tcPr>
          <w:p>
            <w:pPr>
              <w:spacing w:after="40"/>
            </w:pPr>
            <w:r/>
            <w:r>
              <w:rPr>
                <w:rFonts w:ascii="Arial" w:hAnsi="Arial"/>
                <w:b w:val="0"/>
                <w:color w:val="1C1C1C"/>
                <w:sz w:val="20"/>
              </w:rPr>
            </w:r>
          </w:p>
        </w:tc>
      </w:tr>
      <w:tr>
        <w:tc>
          <w:tcPr>
            <w:tcW w:type="dxa" w:w="4873"/>
          </w:tcPr>
          <w:p>
            <w:pPr>
              <w:spacing w:after="40"/>
            </w:pPr>
            <w:r/>
            <w:r>
              <w:rPr>
                <w:rFonts w:ascii="Arial" w:hAnsi="Arial"/>
                <w:b w:val="0"/>
                <w:color w:val="1C1C1C"/>
                <w:sz w:val="20"/>
              </w:rPr>
              <w:t>Head of The Netherlands</w:t>
            </w:r>
          </w:p>
        </w:tc>
        <w:tc>
          <w:tcPr>
            <w:tcW w:type="dxa" w:w="4873"/>
          </w:tcPr>
          <w:p>
            <w:pPr>
              <w:spacing w:after="40"/>
            </w:pPr>
            <w:r/>
            <w:r>
              <w:rPr>
                <w:rFonts w:ascii="Arial" w:hAnsi="Arial"/>
                <w:b w:val="0"/>
                <w:color w:val="1C1C1C"/>
                <w:sz w:val="20"/>
              </w:rPr>
              <w:t>(Name + signature of authorised signatory)</w:t>
            </w:r>
          </w:p>
        </w:tc>
      </w:tr>
    </w:tbl>
    <w:p>
      <w:pPr>
        <w:spacing w:after="120"/>
      </w:pPr>
      <w:r>
        <w:rPr>
          <w:rFonts w:ascii="Arial" w:hAnsi="Arial"/>
          <w:b w:val="0"/>
          <w:color w:val="1C1C1C"/>
          <w:sz w:val="20"/>
        </w:rPr>
      </w:r>
    </w:p>
    <w:p>
      <w:pPr>
        <w:spacing w:after="40"/>
      </w:pPr>
      <w:r>
        <w:rPr>
          <w:rFonts w:ascii="Arial" w:hAnsi="Arial"/>
          <w:b/>
          <w:color w:val="1C1C1C"/>
          <w:sz w:val="20"/>
        </w:rPr>
        <w:t>Appendices:</w:t>
      </w:r>
    </w:p>
    <w:p>
      <w:pPr>
        <w:pStyle w:val="ListBullet"/>
        <w:spacing w:after="60"/>
      </w:pPr>
      <w:r>
        <w:rPr>
          <w:rFonts w:ascii="Arial" w:hAnsi="Arial"/>
          <w:b w:val="0"/>
          <w:color w:val="1C1C1C"/>
          <w:sz w:val="20"/>
        </w:rPr>
        <w:t>DNR 2011</w:t>
      </w:r>
    </w:p>
    <w:p>
      <w:pPr>
        <w:pStyle w:val="ListBullet"/>
        <w:spacing w:after="60"/>
      </w:pPr>
      <w:r>
        <w:rPr>
          <w:rFonts w:ascii="Arial" w:hAnsi="Arial"/>
          <w:b w:val="0"/>
          <w:color w:val="1C1C1C"/>
          <w:sz w:val="20"/>
        </w:rPr>
        <w:t>C&amp;W Capability Statement Consultancy &amp; Design</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1C1C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