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Campaign Brief: Q2 2026 Demand Generation</w:t>
      </w:r>
    </w:p>
    <w:p>
      <w:r>
        <w:rPr>
          <w:b/>
          <w:bCs/>
          <w:sz w:val="26"/>
          <w:szCs w:val="26"/>
        </w:rPr>
        <w:t xml:space="preserve">Contract Intelligence Platform — New Logo Acquisition</w:t>
      </w:r>
    </w:p>
    <w:p>
      <w:r>
        <w:t xml:space="preserve"/>
      </w:r>
    </w:p>
    <w:p>
      <w:pPr>
        <w:pStyle w:val="Heading2"/>
      </w:pPr>
      <w:r>
        <w:t xml:space="preserve">Campaign Overview</w:t>
      </w:r>
    </w:p>
    <w:p>
      <w:r>
        <w:t xml:space="preserve">We are launching a Q2 2026 demand generation campaign targeting new prospects in the mid-market segment. The goal is to drive awareness and pipeline for our contract intelligence platform among legal operations, procurement, and revenue operations teams at companies with 500 to 5000 employees.</w:t>
      </w:r>
    </w:p>
    <w:p>
      <w:r>
        <w:t xml:space="preserve"/>
      </w:r>
    </w:p>
    <w:p>
      <w:pPr>
        <w:pStyle w:val="Heading2"/>
      </w:pPr>
      <w:r>
        <w:t xml:space="preserve">Campaign Objective</w:t>
      </w:r>
    </w:p>
    <w:p>
      <w:r>
        <w:t xml:space="preserve">Generate 200 qualified pipeline opportunities in Q2 2026. Target a 3 percent conversion rate from MQL to SQL and reduce average sales cycle length by 15 percent through better educated buyers entering the funnel.</w:t>
      </w:r>
    </w:p>
    <w:p>
      <w:r>
        <w:t xml:space="preserve"/>
      </w:r>
    </w:p>
    <w:p>
      <w:pPr>
        <w:pStyle w:val="Heading2"/>
      </w:pPr>
      <w:r>
        <w:t xml:space="preserve">Target Audience</w:t>
      </w:r>
    </w:p>
    <w:p>
      <w:r>
        <w:t xml:space="preserve">Primary: Legal Operations Managers and Directors at mid-market B2B companies who are managing contracts manually or with basic tools. Secondary: VP of Revenue Operations and Chief Revenue Officers frustrated by contract bottlenecks slowing down deal velocity. These buyers are sophisticated, skeptical of vendor claims, and respond to specific ROI data and peer validation over feature lists.</w:t>
      </w:r>
    </w:p>
    <w:p>
      <w:r>
        <w:t xml:space="preserve"/>
      </w:r>
    </w:p>
    <w:p>
      <w:pPr>
        <w:pStyle w:val="Heading2"/>
      </w:pPr>
      <w:r>
        <w:t xml:space="preserve">Key Message</w:t>
      </w:r>
    </w:p>
    <w:p>
      <w:r>
        <w:t xml:space="preserve">Every day your contracts sit in email threads and shared drives, deals are slipping. Our contract intelligence platform gives legal and revenue teams a single source of truth so contracts move faster, risks surface earlier, and nothing falls through the cracks.</w:t>
      </w:r>
    </w:p>
    <w:p>
      <w:r>
        <w:t xml:space="preserve"/>
      </w:r>
    </w:p>
    <w:p>
      <w:pPr>
        <w:pStyle w:val="Heading2"/>
      </w:pPr>
      <w:r>
        <w:t xml:space="preserve">Campaign Channels</w:t>
      </w:r>
    </w:p>
    <w:p>
      <w:r>
        <w:t xml:space="preserve">Email nurture sequence, LinkedIn paid social, sponsored content, and SDR outbound sequence.</w:t>
      </w:r>
    </w:p>
    <w:p>
      <w:r>
        <w:t xml:space="preserve"/>
      </w:r>
    </w:p>
    <w:p>
      <w:pPr>
        <w:pStyle w:val="Heading2"/>
      </w:pPr>
      <w:r>
        <w:t xml:space="preserve">Offer and CTA</w:t>
      </w:r>
    </w:p>
    <w:p>
      <w:r>
        <w:t xml:space="preserve">Offer a free contract audit or personalized demo showing how the platform handles their specific contract volume and workflow. CTA should drive to a landing page with a short qualification form, not a generic contact us page.</w:t>
      </w:r>
    </w:p>
    <w:p>
      <w:r>
        <w:t xml:space="preserve"/>
      </w:r>
    </w:p>
    <w:p>
      <w:pPr>
        <w:pStyle w:val="Heading2"/>
      </w:pPr>
      <w:r>
        <w:t xml:space="preserve">Tone and Voice</w:t>
      </w:r>
    </w:p>
    <w:p>
      <w:r>
        <w:t xml:space="preserve">Direct, credible, and outcome-focused. Speak to the business pain first, the product second. Avoid jargon and feature lists. This audience has seen hundreds of vendor emails and will delete anything that sounds like a pitch deck.</w:t>
      </w:r>
    </w:p>
    <w:p>
      <w:r>
        <w:t xml:space="preserve"/>
      </w:r>
    </w:p>
    <w:p>
      <w:pPr>
        <w:pStyle w:val="Heading2"/>
      </w:pPr>
      <w:r>
        <w:t xml:space="preserve">Campaign Timeline</w:t>
      </w:r>
    </w:p>
    <w:p>
      <w:r>
        <w:t xml:space="preserve">Launch Date: April 1, 2026. Campaign Window: April 1 through June 30,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2026-05-03T18:58:34.155Z</dcterms:created>
  <dcterms:modified xsi:type="dcterms:W3CDTF">2026-05-03T18:58:34.156Z</dcterms:modified>
</cp:coreProperties>
</file>

<file path=docProps/custom.xml><?xml version="1.0" encoding="utf-8"?>
<Properties xmlns="http://schemas.openxmlformats.org/officeDocument/2006/custom-properties" xmlns:vt="http://schemas.openxmlformats.org/officeDocument/2006/docPropsVTypes"/>
</file>