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iMedia ETL Plan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Outline the ETL (Extract, Transform, Load) plan for the music database.</w:t>
        <w:br w:type="textWrapping"/>
        <w:t xml:space="preserve">2. Follow the structure provided to detail each phase of the ETL process.</w:t>
        <w:br w:type="textWrapping"/>
        <w:t xml:space="preserve">3. Save the document as 'iMedia_ETL_Plan_Template.docx.'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Extract Phase: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Data Sources: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* Artists: CSV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* Albums: CSV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* Tracks: CSV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* Genres: CSV file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Transform Phase: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Data Cleaning Steps: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* Step 1: [Describe the first data cleaning step, e.g., handling missing values in artist data]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* Step 2: [Describe the second data cleaning step, e.g., removing duplicate entries in album data]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Step 3: [Describe the third data cleaning step, e.g., correcting data formats in track metadata]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Data Transformation 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Step 1: [Describe the first transformation step, e.g., converting birthdates to a standard format]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Step 2: [Describe the second transformation step, e.g., aggregating track play counts by album]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Step 3: [Describe the third transformation step, e.g., mapping genres to standardized genre IDs]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Load Phase: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Target Database: [Specify the target database, e.g., SQLite database]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Loading Strategy: [Describe the loading strategy, e.g., batch loading, real-time loading]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6dU0EYmUFm/gC4BxgnlKSAyy8g==">CgMxLjA4AHIhMVQ3bkRoSGdPZDVYVjFEamVDSDFoVzR5amJzUldNdDJ0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