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项目名称：湖北天门10kV湖北泽铭塑业有限公司业扩配套工程          项目编码：1815J8240008           链路：11954                    IP：10.0.78.191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项目名称：湖北天门10kV湖北泽铭塑业有限公司业扩配套工程          项目编码：1815J8240008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项目名称：湖北天门10kV湖北泽铭塑业有限公司业扩配套工程          项目编码：1815J8240008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