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审计期间，我单位将积极配合湖北天门10kV天门市腾新污水处有限公司业扩配套工程（项目编号1815J824003T）项目结（决）算审核各项工作，按要求提供有关事项的全部资料，并就所提供的资料承诺如下：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