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审计期间，我单位将积极配合湖北天门10kV湖北伟天纺织科技有限公司业扩配套工程（项目编号1815J824000Z）项目结（决）算审核各项工作，按要求提供有关事项的全部资料，并就所提供的资料承诺如下：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1237.00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