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147FB" w14:textId="0CA407B8" w:rsidR="00490C15" w:rsidRPr="008B0AC9" w:rsidRDefault="00490C15" w:rsidP="00490C15">
      <w:pPr>
        <w:pStyle w:val="Heading1"/>
        <w:rPr>
          <w:rFonts w:asciiTheme="minorHAnsi" w:hAnsiTheme="minorHAnsi"/>
          <w:sz w:val="24"/>
          <w:szCs w:val="24"/>
          <w:vertAlign w:val="superscript"/>
        </w:rPr>
      </w:pPr>
      <w:r w:rsidRPr="00E47F94">
        <w:rPr>
          <w:rFonts w:asciiTheme="minorHAnsi" w:hAnsiTheme="minorHAnsi"/>
          <w:sz w:val="24"/>
          <w:szCs w:val="24"/>
        </w:rPr>
        <w:t xml:space="preserve">Characterization of </w:t>
      </w:r>
      <w:r w:rsidR="00175FA8" w:rsidRPr="00E47F94">
        <w:rPr>
          <w:rFonts w:asciiTheme="minorHAnsi" w:hAnsiTheme="minorHAnsi"/>
          <w:sz w:val="24"/>
          <w:szCs w:val="24"/>
        </w:rPr>
        <w:t xml:space="preserve">Early </w:t>
      </w:r>
      <w:r w:rsidRPr="00E47F94">
        <w:rPr>
          <w:rFonts w:asciiTheme="minorHAnsi" w:hAnsiTheme="minorHAnsi"/>
          <w:sz w:val="24"/>
          <w:szCs w:val="24"/>
        </w:rPr>
        <w:t xml:space="preserve">Cortical Neural Network Development in </w:t>
      </w:r>
      <w:proofErr w:type="spellStart"/>
      <w:r w:rsidRPr="00E47F94">
        <w:rPr>
          <w:rFonts w:asciiTheme="minorHAnsi" w:hAnsiTheme="minorHAnsi"/>
          <w:sz w:val="24"/>
          <w:szCs w:val="24"/>
        </w:rPr>
        <w:t>Multiwell</w:t>
      </w:r>
      <w:proofErr w:type="spellEnd"/>
      <w:r w:rsidRPr="00E47F94">
        <w:rPr>
          <w:rFonts w:asciiTheme="minorHAnsi" w:hAnsiTheme="minorHAnsi"/>
          <w:sz w:val="24"/>
          <w:szCs w:val="24"/>
        </w:rPr>
        <w:t xml:space="preserve"> Microelectrode Array Plates</w:t>
      </w:r>
      <w:r w:rsidR="009B2868">
        <w:rPr>
          <w:rFonts w:asciiTheme="minorHAnsi" w:hAnsiTheme="minorHAnsi"/>
          <w:sz w:val="24"/>
          <w:szCs w:val="24"/>
          <w:vertAlign w:val="superscript"/>
        </w:rPr>
        <w:t>+</w:t>
      </w:r>
    </w:p>
    <w:p w14:paraId="541392FE" w14:textId="019A7D84" w:rsidR="009B2868" w:rsidRDefault="00C24E91" w:rsidP="00C24E91">
      <w:bookmarkStart w:id="0" w:name="_GoBack"/>
      <w:proofErr w:type="spellStart"/>
      <w:proofErr w:type="gramStart"/>
      <w:r w:rsidRPr="00E06617">
        <w:t>Ellese</w:t>
      </w:r>
      <w:proofErr w:type="spellEnd"/>
      <w:r w:rsidRPr="00E06617">
        <w:t xml:space="preserve"> Cotterill</w:t>
      </w:r>
      <w:r w:rsidR="009B2868">
        <w:rPr>
          <w:vertAlign w:val="superscript"/>
        </w:rPr>
        <w:t>1#</w:t>
      </w:r>
      <w:r w:rsidRPr="00E06617">
        <w:t xml:space="preserve"> and Diana Hall</w:t>
      </w:r>
      <w:r w:rsidR="009B2868">
        <w:rPr>
          <w:vertAlign w:val="superscript"/>
        </w:rPr>
        <w:t>2#*</w:t>
      </w:r>
      <w:r w:rsidRPr="00E06617">
        <w:t>, Kathleen Wallace</w:t>
      </w:r>
      <w:r w:rsidR="009B2868">
        <w:rPr>
          <w:vertAlign w:val="superscript"/>
        </w:rPr>
        <w:t>2</w:t>
      </w:r>
      <w:r w:rsidRPr="00E06617">
        <w:t xml:space="preserve">, </w:t>
      </w:r>
      <w:r w:rsidR="000478BD" w:rsidRPr="00E06617">
        <w:t>William R Mundy</w:t>
      </w:r>
      <w:r w:rsidR="009B2868">
        <w:rPr>
          <w:vertAlign w:val="superscript"/>
        </w:rPr>
        <w:t>2</w:t>
      </w:r>
      <w:r w:rsidRPr="00612EC5">
        <w:t>, Stephen J Eglen</w:t>
      </w:r>
      <w:r w:rsidR="009B2868">
        <w:rPr>
          <w:vertAlign w:val="superscript"/>
        </w:rPr>
        <w:t>1</w:t>
      </w:r>
      <w:r w:rsidRPr="00612EC5">
        <w:t xml:space="preserve">, </w:t>
      </w:r>
      <w:r w:rsidRPr="00C1704B">
        <w:t>Timothy J Shafer</w:t>
      </w:r>
      <w:r w:rsidR="009B2868">
        <w:rPr>
          <w:vertAlign w:val="superscript"/>
        </w:rPr>
        <w:t>2</w:t>
      </w:r>
      <w:bookmarkEnd w:id="0"/>
      <w:r w:rsidRPr="00C1704B">
        <w:t>.</w:t>
      </w:r>
      <w:proofErr w:type="gramEnd"/>
    </w:p>
    <w:p w14:paraId="76298A64" w14:textId="68D1D155" w:rsidR="009B2868" w:rsidRDefault="009B2868" w:rsidP="009B2868">
      <w:pPr>
        <w:spacing w:before="0" w:after="200"/>
      </w:pPr>
      <w:r>
        <w:rPr>
          <w:vertAlign w:val="superscript"/>
        </w:rPr>
        <w:t xml:space="preserve">1 </w:t>
      </w:r>
      <w:r>
        <w:t>Department of Applied Mathematics and Theoretical Physics, University of</w:t>
      </w:r>
      <w:r w:rsidRPr="009B2868">
        <w:t xml:space="preserve"> </w:t>
      </w:r>
      <w:r>
        <w:t xml:space="preserve">Cambridge, Cambridge, United Kingdom, and </w:t>
      </w:r>
      <w:r>
        <w:rPr>
          <w:vertAlign w:val="superscript"/>
        </w:rPr>
        <w:t>2</w:t>
      </w:r>
      <w:r>
        <w:t>Office of Research and Development, National Health and Environmental Effects Research Laboratory, US Environmental Protection Agency, Research Triangle Park, NC</w:t>
      </w:r>
    </w:p>
    <w:p w14:paraId="32AF1B89" w14:textId="77777777" w:rsidR="009B2868" w:rsidRDefault="009B2868" w:rsidP="009B2868">
      <w:pPr>
        <w:spacing w:before="0" w:after="200"/>
      </w:pPr>
    </w:p>
    <w:p w14:paraId="02C01E55" w14:textId="77777777" w:rsidR="009B2868" w:rsidRPr="008B0AC9" w:rsidRDefault="009B2868" w:rsidP="009B2868">
      <w:pPr>
        <w:spacing w:before="0" w:after="200"/>
        <w:contextualSpacing/>
        <w:rPr>
          <w:u w:val="single"/>
        </w:rPr>
      </w:pPr>
      <w:r w:rsidRPr="008B0AC9">
        <w:rPr>
          <w:u w:val="single"/>
        </w:rPr>
        <w:t>Corresponding Author:</w:t>
      </w:r>
    </w:p>
    <w:p w14:paraId="1F5841E7" w14:textId="77777777" w:rsidR="009B2868" w:rsidRDefault="009B2868" w:rsidP="009B2868">
      <w:pPr>
        <w:spacing w:before="0" w:after="200"/>
        <w:contextualSpacing/>
      </w:pPr>
      <w:proofErr w:type="gramStart"/>
      <w:r>
        <w:t>Timothy J Shafer, Ph.D.</w:t>
      </w:r>
      <w:proofErr w:type="gramEnd"/>
    </w:p>
    <w:p w14:paraId="17E4F60B" w14:textId="77777777" w:rsidR="009B2868" w:rsidRDefault="009B2868" w:rsidP="009B2868">
      <w:pPr>
        <w:spacing w:before="0" w:after="200"/>
        <w:contextualSpacing/>
      </w:pPr>
      <w:r>
        <w:t>Integrated Systems Toxicology Division, MD-B105-03</w:t>
      </w:r>
    </w:p>
    <w:p w14:paraId="45BFB42D" w14:textId="77777777" w:rsidR="009B2868" w:rsidRDefault="009B2868" w:rsidP="009B2868">
      <w:pPr>
        <w:spacing w:before="0" w:after="200"/>
        <w:contextualSpacing/>
      </w:pPr>
      <w:r>
        <w:t>Office of Research and Development</w:t>
      </w:r>
    </w:p>
    <w:p w14:paraId="666FF451" w14:textId="77777777" w:rsidR="009B2868" w:rsidRDefault="009B2868" w:rsidP="009B2868">
      <w:pPr>
        <w:spacing w:before="0" w:after="200"/>
        <w:contextualSpacing/>
      </w:pPr>
      <w:r>
        <w:t>U.S. Environmental Protection Agency</w:t>
      </w:r>
    </w:p>
    <w:p w14:paraId="6FFCBCB0" w14:textId="77777777" w:rsidR="009B2868" w:rsidRDefault="009B2868" w:rsidP="009B2868">
      <w:pPr>
        <w:spacing w:before="0" w:after="200"/>
        <w:contextualSpacing/>
      </w:pPr>
      <w:r>
        <w:t>Research Triangle Park, NC 27711</w:t>
      </w:r>
    </w:p>
    <w:p w14:paraId="4DDF900B" w14:textId="77777777" w:rsidR="009B2868" w:rsidRDefault="009B2868" w:rsidP="009B2868">
      <w:pPr>
        <w:spacing w:before="0" w:after="200"/>
        <w:contextualSpacing/>
      </w:pPr>
    </w:p>
    <w:p w14:paraId="14A5C340" w14:textId="77777777" w:rsidR="009B2868" w:rsidRDefault="009B2868" w:rsidP="009B2868">
      <w:pPr>
        <w:spacing w:before="0" w:after="200"/>
        <w:contextualSpacing/>
      </w:pPr>
      <w:r>
        <w:t>Phone: 919-541-0647</w:t>
      </w:r>
    </w:p>
    <w:p w14:paraId="36402C24" w14:textId="77777777" w:rsidR="009B2868" w:rsidRDefault="009B2868" w:rsidP="009B2868">
      <w:pPr>
        <w:spacing w:before="0" w:after="200"/>
        <w:contextualSpacing/>
      </w:pPr>
      <w:r>
        <w:t>Fax: 919-541-4849</w:t>
      </w:r>
    </w:p>
    <w:p w14:paraId="56EA3C44" w14:textId="77777777" w:rsidR="009B2868" w:rsidRDefault="009B2868" w:rsidP="009B2868">
      <w:pPr>
        <w:spacing w:before="0" w:after="200"/>
        <w:contextualSpacing/>
      </w:pPr>
      <w:r>
        <w:t>Email: Shafer.tim@epa.gov</w:t>
      </w:r>
    </w:p>
    <w:p w14:paraId="7316D8B6" w14:textId="77777777" w:rsidR="009B2868" w:rsidRDefault="009B2868" w:rsidP="009B2868">
      <w:pPr>
        <w:spacing w:before="0" w:after="200"/>
      </w:pPr>
    </w:p>
    <w:p w14:paraId="4E84C06B" w14:textId="04099785" w:rsidR="009B2868" w:rsidRDefault="009B2868" w:rsidP="009B2868">
      <w:pPr>
        <w:spacing w:before="0" w:after="200"/>
      </w:pPr>
      <w:r>
        <w:rPr>
          <w:vertAlign w:val="superscript"/>
        </w:rPr>
        <w:t>+</w:t>
      </w:r>
      <w:r>
        <w:t xml:space="preserve">Preparation of this document has been funded </w:t>
      </w:r>
      <w:r w:rsidR="007234E2">
        <w:t xml:space="preserve">in part </w:t>
      </w:r>
      <w:r>
        <w:t>by the U.S. Environmental Protection Agency. This document has been reviewed by the National Health and Environmental Effects Research Laboratory and approved for publication. Approval does not signify that the contents reflect the views of the Agency, nor does mention of trade names or commercial products constitute endorsement or recommendation for use.</w:t>
      </w:r>
    </w:p>
    <w:p w14:paraId="3CA8207C" w14:textId="77777777" w:rsidR="009B2868" w:rsidRDefault="009B2868" w:rsidP="009B2868">
      <w:pPr>
        <w:spacing w:before="0" w:after="200"/>
      </w:pPr>
    </w:p>
    <w:p w14:paraId="2574FA11" w14:textId="77777777" w:rsidR="009B2868" w:rsidRDefault="009B2868" w:rsidP="009B2868">
      <w:pPr>
        <w:spacing w:before="0" w:after="200"/>
      </w:pPr>
      <w:r>
        <w:t xml:space="preserve">#, </w:t>
      </w:r>
      <w:proofErr w:type="gramStart"/>
      <w:r>
        <w:t>these</w:t>
      </w:r>
      <w:proofErr w:type="gramEnd"/>
      <w:r>
        <w:t xml:space="preserve"> authors contributed equally to this study.</w:t>
      </w:r>
    </w:p>
    <w:p w14:paraId="284C548B" w14:textId="7F06693B" w:rsidR="009B2868" w:rsidRDefault="009B2868" w:rsidP="009B2868">
      <w:pPr>
        <w:spacing w:before="0" w:after="200"/>
      </w:pPr>
      <w:r>
        <w:t>*DH was supported by student services contract #EP-13-D-000108.</w:t>
      </w:r>
      <w:r>
        <w:br w:type="page"/>
      </w:r>
    </w:p>
    <w:p w14:paraId="6E9B59AB" w14:textId="77777777" w:rsidR="00D20ED6" w:rsidRPr="00E47F94" w:rsidRDefault="00D20ED6" w:rsidP="00D20ED6">
      <w:pPr>
        <w:pStyle w:val="Heading2"/>
        <w:rPr>
          <w:rFonts w:asciiTheme="minorHAnsi" w:hAnsiTheme="minorHAnsi"/>
          <w:sz w:val="24"/>
          <w:szCs w:val="24"/>
        </w:rPr>
      </w:pPr>
      <w:r w:rsidRPr="00E47F94">
        <w:rPr>
          <w:rFonts w:asciiTheme="minorHAnsi" w:hAnsiTheme="minorHAnsi"/>
          <w:sz w:val="24"/>
          <w:szCs w:val="24"/>
        </w:rPr>
        <w:lastRenderedPageBreak/>
        <w:t>Introduction</w:t>
      </w:r>
    </w:p>
    <w:p w14:paraId="092D0B09" w14:textId="00B971E0" w:rsidR="00D20ED6" w:rsidRPr="00E06617" w:rsidRDefault="00D20ED6" w:rsidP="006F580E">
      <w:pPr>
        <w:spacing w:line="480" w:lineRule="auto"/>
        <w:contextualSpacing/>
      </w:pPr>
      <w:r w:rsidRPr="00E06617">
        <w:t xml:space="preserve">Microelectrode array (MEA) </w:t>
      </w:r>
      <w:proofErr w:type="gramStart"/>
      <w:r w:rsidRPr="00E06617">
        <w:t>recordings</w:t>
      </w:r>
      <w:proofErr w:type="gramEnd"/>
      <w:r w:rsidRPr="00E06617">
        <w:t xml:space="preserve"> are </w:t>
      </w:r>
      <w:proofErr w:type="gramStart"/>
      <w:r w:rsidRPr="00E06617">
        <w:t>a useful tool to study the activity of networks of interconnected neurons, both in vitro and in vivo</w:t>
      </w:r>
      <w:proofErr w:type="gramEnd"/>
      <w:r w:rsidRPr="00E06617">
        <w:t>.</w:t>
      </w:r>
      <w:r w:rsidR="008630B2" w:rsidRPr="00612EC5">
        <w:t xml:space="preserve"> </w:t>
      </w:r>
      <w:r w:rsidR="008630B2" w:rsidRPr="00C1704B">
        <w:t>In vitro, neural networks on MEAs demonstrate many characteristic</w:t>
      </w:r>
      <w:r w:rsidR="008630B2" w:rsidRPr="00EF7A71">
        <w:t>s of intact neural networks</w:t>
      </w:r>
      <w:r w:rsidR="00A84680">
        <w:t>; this includes extracellular recordings of action potentials (“</w:t>
      </w:r>
      <w:r w:rsidR="008630B2" w:rsidRPr="00EF7A71">
        <w:t>spik</w:t>
      </w:r>
      <w:r w:rsidR="00A84680">
        <w:t>es”)</w:t>
      </w:r>
      <w:r w:rsidR="008630B2" w:rsidRPr="00EF7A71">
        <w:t xml:space="preserve"> and </w:t>
      </w:r>
      <w:r w:rsidR="00A84680">
        <w:t>groups of action potentials (“</w:t>
      </w:r>
      <w:r w:rsidR="008630B2" w:rsidRPr="00EF7A71">
        <w:t>burst</w:t>
      </w:r>
      <w:r w:rsidR="00A84680">
        <w:t>s”)</w:t>
      </w:r>
      <w:r w:rsidR="007234E2">
        <w:t xml:space="preserve"> simultaneously from multiple points in the network</w:t>
      </w:r>
      <w:r w:rsidR="00A84680">
        <w:t>. The spontaneous activity in these networks exhibit</w:t>
      </w:r>
      <w:r w:rsidR="007234E2">
        <w:t>s</w:t>
      </w:r>
      <w:r w:rsidR="008630B2" w:rsidRPr="00EF7A71">
        <w:t xml:space="preserve"> pharmacological responsiveness and plasticity (Gross et al., 1997; Potter, 2001; </w:t>
      </w:r>
      <w:proofErr w:type="spellStart"/>
      <w:r w:rsidR="008630B2" w:rsidRPr="00EF7A71">
        <w:t>Marom</w:t>
      </w:r>
      <w:proofErr w:type="spellEnd"/>
      <w:r w:rsidR="008630B2" w:rsidRPr="00EF7A71">
        <w:t xml:space="preserve"> and </w:t>
      </w:r>
      <w:proofErr w:type="spellStart"/>
      <w:r w:rsidR="008630B2" w:rsidRPr="00EF7A71">
        <w:t>Shahaf</w:t>
      </w:r>
      <w:proofErr w:type="spellEnd"/>
      <w:r w:rsidR="008630B2" w:rsidRPr="00EF7A71">
        <w:t>, 2002; van Pelt et al., 2005; Pasquale et al., 2008)</w:t>
      </w:r>
      <w:r w:rsidR="008630B2" w:rsidRPr="00E06617">
        <w:t>.</w:t>
      </w:r>
      <w:r w:rsidRPr="00E06617">
        <w:t xml:space="preserve"> </w:t>
      </w:r>
      <w:r w:rsidR="008630B2" w:rsidRPr="00E06617">
        <w:t>T</w:t>
      </w:r>
      <w:r w:rsidRPr="00E06617">
        <w:t>h</w:t>
      </w:r>
      <w:r w:rsidR="00DD4E32" w:rsidRPr="00E06617">
        <w:t>u</w:t>
      </w:r>
      <w:r w:rsidRPr="00E06617">
        <w:t>s</w:t>
      </w:r>
      <w:r w:rsidR="00DD4E32" w:rsidRPr="00E06617">
        <w:t xml:space="preserve">, primary cultures </w:t>
      </w:r>
      <w:r w:rsidR="00012841">
        <w:t>of</w:t>
      </w:r>
      <w:r w:rsidR="00012841" w:rsidRPr="00E06617">
        <w:t xml:space="preserve"> </w:t>
      </w:r>
      <w:r w:rsidR="00DD4E32" w:rsidRPr="00E06617">
        <w:t>neural networks on MEAs have been</w:t>
      </w:r>
      <w:r w:rsidRPr="00E06617">
        <w:t xml:space="preserve"> widely utilized to </w:t>
      </w:r>
      <w:r w:rsidR="00DD4E32" w:rsidRPr="00E06617">
        <w:t>study neurophysiology</w:t>
      </w:r>
      <w:r w:rsidR="00E47F94">
        <w:t>,</w:t>
      </w:r>
      <w:r w:rsidR="00DD4E32" w:rsidRPr="00E06617">
        <w:t xml:space="preserve"> neuropharmacology and </w:t>
      </w:r>
      <w:proofErr w:type="spellStart"/>
      <w:r w:rsidR="00E47F94">
        <w:t>neurotoxicology</w:t>
      </w:r>
      <w:proofErr w:type="spellEnd"/>
      <w:r w:rsidR="00DD4E32" w:rsidRPr="00E06617">
        <w:t xml:space="preserve"> (for review, see </w:t>
      </w:r>
      <w:proofErr w:type="spellStart"/>
      <w:r w:rsidR="00DD4E32" w:rsidRPr="00E06617">
        <w:t>Johnstone</w:t>
      </w:r>
      <w:proofErr w:type="spellEnd"/>
      <w:r w:rsidR="00DD4E32" w:rsidRPr="00E06617">
        <w:t xml:space="preserve"> et al., 2010)</w:t>
      </w:r>
      <w:r w:rsidRPr="00E06617">
        <w:t xml:space="preserve">. </w:t>
      </w:r>
      <w:proofErr w:type="gramStart"/>
      <w:r w:rsidRPr="00E06617">
        <w:t xml:space="preserve">In addition, the </w:t>
      </w:r>
      <w:r w:rsidR="00552332" w:rsidRPr="00E06617">
        <w:t>ontogeny</w:t>
      </w:r>
      <w:r w:rsidRPr="00E06617">
        <w:t xml:space="preserve"> of network activi</w:t>
      </w:r>
      <w:r w:rsidR="00552332" w:rsidRPr="00E06617">
        <w:t xml:space="preserve">ty on </w:t>
      </w:r>
      <w:r w:rsidR="001D4659">
        <w:t>MEAs</w:t>
      </w:r>
      <w:r w:rsidR="00552332" w:rsidRPr="00E06617">
        <w:t xml:space="preserve"> has</w:t>
      </w:r>
      <w:r w:rsidRPr="00E06617">
        <w:t xml:space="preserve"> been described by </w:t>
      </w:r>
      <w:r w:rsidR="004104B2" w:rsidRPr="00E06617">
        <w:t>numerous</w:t>
      </w:r>
      <w:r w:rsidRPr="00E06617">
        <w:t xml:space="preserve"> different laboratories</w:t>
      </w:r>
      <w:proofErr w:type="gramEnd"/>
      <w:r w:rsidR="006F580E" w:rsidRPr="00E06617">
        <w:t xml:space="preserve"> (van Pelt et al., 2005; </w:t>
      </w:r>
      <w:proofErr w:type="spellStart"/>
      <w:r w:rsidR="006F580E" w:rsidRPr="00E06617">
        <w:t>Wagenaar</w:t>
      </w:r>
      <w:proofErr w:type="spellEnd"/>
      <w:r w:rsidR="00DD4E32" w:rsidRPr="00E06617">
        <w:t xml:space="preserve"> </w:t>
      </w:r>
      <w:r w:rsidR="006F580E" w:rsidRPr="00E06617">
        <w:t>et al., 2006</w:t>
      </w:r>
      <w:r w:rsidR="008630B2" w:rsidRPr="00E06617">
        <w:t xml:space="preserve">; </w:t>
      </w:r>
      <w:proofErr w:type="spellStart"/>
      <w:r w:rsidR="008630B2" w:rsidRPr="00E06617">
        <w:t>Chiappalone</w:t>
      </w:r>
      <w:proofErr w:type="spellEnd"/>
      <w:r w:rsidR="008630B2" w:rsidRPr="00E06617">
        <w:t xml:space="preserve"> et al., 2006;</w:t>
      </w:r>
      <w:r w:rsidR="00D20C82" w:rsidRPr="00E06617">
        <w:t xml:space="preserve"> </w:t>
      </w:r>
      <w:proofErr w:type="spellStart"/>
      <w:r w:rsidR="00D20C82" w:rsidRPr="00E06617">
        <w:t>Illes</w:t>
      </w:r>
      <w:proofErr w:type="spellEnd"/>
      <w:r w:rsidR="00D20C82" w:rsidRPr="00E06617">
        <w:t xml:space="preserve"> et al., 2007</w:t>
      </w:r>
      <w:r w:rsidR="00DD4E32" w:rsidRPr="00E06617">
        <w:t xml:space="preserve">; </w:t>
      </w:r>
      <w:proofErr w:type="spellStart"/>
      <w:r w:rsidR="00DD4E32" w:rsidRPr="00E06617">
        <w:t>Biffi</w:t>
      </w:r>
      <w:proofErr w:type="spellEnd"/>
      <w:r w:rsidR="00DD4E32" w:rsidRPr="00E06617">
        <w:t xml:space="preserve"> et al., 2013</w:t>
      </w:r>
      <w:r w:rsidR="006F580E" w:rsidRPr="00E06617">
        <w:t>)</w:t>
      </w:r>
      <w:r w:rsidR="00D20C82" w:rsidRPr="00E06617">
        <w:t>.</w:t>
      </w:r>
      <w:r w:rsidRPr="00E06617">
        <w:t xml:space="preserve"> Until recently, however, the throughput of MEA devices has been limited</w:t>
      </w:r>
      <w:r w:rsidR="00552332" w:rsidRPr="00E06617">
        <w:t>,</w:t>
      </w:r>
      <w:r w:rsidRPr="00E06617">
        <w:t xml:space="preserve"> such that it was not possible to study more than a small handful (e.g. 4-6) networks at a time.</w:t>
      </w:r>
      <w:r w:rsidR="00DD4E32" w:rsidRPr="00E06617">
        <w:t xml:space="preserve"> </w:t>
      </w:r>
    </w:p>
    <w:p w14:paraId="1EF23EC4" w14:textId="5B61077B" w:rsidR="00DD4E32" w:rsidRPr="00E06617" w:rsidRDefault="00D20ED6" w:rsidP="00141D9D">
      <w:pPr>
        <w:spacing w:line="480" w:lineRule="auto"/>
        <w:ind w:firstLine="720"/>
        <w:contextualSpacing/>
      </w:pPr>
      <w:r w:rsidRPr="00E06617">
        <w:t>Recently</w:t>
      </w:r>
      <w:r w:rsidR="004104B2" w:rsidRPr="00E06617">
        <w:t>,</w:t>
      </w:r>
      <w:r w:rsidRPr="00E06617">
        <w:t xml:space="preserve"> two manufacturers of MEA devices have introduced multi-well MEA (</w:t>
      </w:r>
      <w:proofErr w:type="spellStart"/>
      <w:r w:rsidRPr="00E06617">
        <w:t>mwMEA</w:t>
      </w:r>
      <w:proofErr w:type="spellEnd"/>
      <w:r w:rsidRPr="00E06617">
        <w:t>) devices, which allow for recordings to be made from 12-96 wells simultaneously, with 8-64 electrodes per we</w:t>
      </w:r>
      <w:r w:rsidR="004B6A0B" w:rsidRPr="00E06617">
        <w:t>ll. The</w:t>
      </w:r>
      <w:r w:rsidRPr="00E06617">
        <w:t xml:space="preserve"> increase in throughput offered by </w:t>
      </w:r>
      <w:proofErr w:type="spellStart"/>
      <w:r w:rsidRPr="00E06617">
        <w:t>mwMEA</w:t>
      </w:r>
      <w:proofErr w:type="spellEnd"/>
      <w:r w:rsidRPr="00E06617">
        <w:t xml:space="preserve"> devices expands the capabilities of MEA systems</w:t>
      </w:r>
      <w:r w:rsidR="00552332" w:rsidRPr="00E06617">
        <w:t>,</w:t>
      </w:r>
      <w:r w:rsidRPr="00E06617">
        <w:t xml:space="preserve"> allowing for drug and toxicant screening (</w:t>
      </w:r>
      <w:r w:rsidR="00141D9D" w:rsidRPr="00E06617">
        <w:t>Valdivia et al., 2014; Nicolas et al., 2014</w:t>
      </w:r>
      <w:r w:rsidRPr="00E06617">
        <w:t>) and, in combination with</w:t>
      </w:r>
      <w:r w:rsidR="004104B2" w:rsidRPr="00E06617">
        <w:t xml:space="preserve"> genomic </w:t>
      </w:r>
      <w:proofErr w:type="gramStart"/>
      <w:r w:rsidR="004104B2" w:rsidRPr="00E06617">
        <w:t>manipulation</w:t>
      </w:r>
      <w:proofErr w:type="gramEnd"/>
      <w:r w:rsidR="004104B2" w:rsidRPr="00E06617">
        <w:t xml:space="preserve"> (</w:t>
      </w:r>
      <w:proofErr w:type="spellStart"/>
      <w:r w:rsidR="004104B2" w:rsidRPr="00E06617">
        <w:t>MacLaren</w:t>
      </w:r>
      <w:proofErr w:type="spellEnd"/>
      <w:r w:rsidR="004104B2" w:rsidRPr="00E06617">
        <w:t xml:space="preserve"> et al., 2011</w:t>
      </w:r>
      <w:r w:rsidR="000A6775" w:rsidRPr="00E06617">
        <w:t xml:space="preserve">, </w:t>
      </w:r>
      <w:proofErr w:type="spellStart"/>
      <w:r w:rsidR="000A6775" w:rsidRPr="00E06617">
        <w:t>Charlesworth</w:t>
      </w:r>
      <w:proofErr w:type="spellEnd"/>
      <w:r w:rsidR="000A6775" w:rsidRPr="00E06617">
        <w:t xml:space="preserve"> et al. 2015b</w:t>
      </w:r>
      <w:r w:rsidR="004104B2" w:rsidRPr="00E06617">
        <w:t>) or</w:t>
      </w:r>
      <w:r w:rsidRPr="00E06617">
        <w:t xml:space="preserve"> patient-derived inducible pluripotent stem cells</w:t>
      </w:r>
      <w:r w:rsidR="004104B2" w:rsidRPr="00E06617">
        <w:t xml:space="preserve"> (</w:t>
      </w:r>
      <w:proofErr w:type="spellStart"/>
      <w:r w:rsidR="004104B2" w:rsidRPr="00E06617">
        <w:t>Wainger</w:t>
      </w:r>
      <w:proofErr w:type="spellEnd"/>
      <w:r w:rsidR="004104B2" w:rsidRPr="00E06617">
        <w:t xml:space="preserve"> et al 2014; Woodward et al., 2014)</w:t>
      </w:r>
      <w:r w:rsidRPr="00E06617">
        <w:t xml:space="preserve">, </w:t>
      </w:r>
      <w:r w:rsidR="006F580E" w:rsidRPr="00E06617">
        <w:t>has been used to</w:t>
      </w:r>
      <w:r w:rsidRPr="00E06617">
        <w:t xml:space="preserve"> describe how network function </w:t>
      </w:r>
      <w:r w:rsidR="006F580E" w:rsidRPr="00E06617">
        <w:t>is</w:t>
      </w:r>
      <w:r w:rsidRPr="00E06617">
        <w:t xml:space="preserve"> affected by disease states. Finally, </w:t>
      </w:r>
      <w:proofErr w:type="spellStart"/>
      <w:r w:rsidRPr="00E06617">
        <w:t>mwMEAs</w:t>
      </w:r>
      <w:proofErr w:type="spellEnd"/>
      <w:r w:rsidRPr="00E06617">
        <w:t xml:space="preserve"> offer </w:t>
      </w:r>
      <w:r w:rsidRPr="00E06617">
        <w:lastRenderedPageBreak/>
        <w:t xml:space="preserve">the ability to screen large numbers of chemicals for potential effects on developing networks (Robinette et al., 2011; </w:t>
      </w:r>
      <w:proofErr w:type="spellStart"/>
      <w:r w:rsidRPr="00E06617">
        <w:t>Hogberg</w:t>
      </w:r>
      <w:proofErr w:type="spellEnd"/>
      <w:r w:rsidRPr="00E06617">
        <w:t xml:space="preserve"> et al., 2011).</w:t>
      </w:r>
      <w:r w:rsidR="00552332" w:rsidRPr="00E06617">
        <w:t xml:space="preserve"> Given the significant public concern over the potential role of chemicals in neurodevelopmental diseases (</w:t>
      </w:r>
      <w:proofErr w:type="spellStart"/>
      <w:r w:rsidR="00552332" w:rsidRPr="00E06617">
        <w:t>Landrigan</w:t>
      </w:r>
      <w:proofErr w:type="spellEnd"/>
      <w:r w:rsidR="00552332" w:rsidRPr="00E06617">
        <w:t xml:space="preserve"> and </w:t>
      </w:r>
      <w:proofErr w:type="spellStart"/>
      <w:r w:rsidR="00552332" w:rsidRPr="00E06617">
        <w:t>Grandjean</w:t>
      </w:r>
      <w:proofErr w:type="spellEnd"/>
      <w:r w:rsidR="00552332" w:rsidRPr="00E06617">
        <w:t xml:space="preserve">, 2006; 2014), study of chemical effects on neural network ontogeny using </w:t>
      </w:r>
      <w:proofErr w:type="spellStart"/>
      <w:r w:rsidR="00552332" w:rsidRPr="00E06617">
        <w:t>mwMEAs</w:t>
      </w:r>
      <w:proofErr w:type="spellEnd"/>
      <w:r w:rsidR="00552332" w:rsidRPr="00E06617">
        <w:t xml:space="preserve"> offer a functional measure for developmental neurotoxicity hazard characterization.</w:t>
      </w:r>
      <w:r w:rsidRPr="00E06617">
        <w:t xml:space="preserve"> </w:t>
      </w:r>
    </w:p>
    <w:p w14:paraId="200D17BC" w14:textId="65525E83" w:rsidR="00D20ED6" w:rsidRPr="00E06617" w:rsidRDefault="00D20ED6" w:rsidP="00141D9D">
      <w:pPr>
        <w:spacing w:line="480" w:lineRule="auto"/>
        <w:ind w:firstLine="720"/>
        <w:contextualSpacing/>
      </w:pPr>
      <w:r w:rsidRPr="00E06617">
        <w:t>However, in order for such studies to take place, the basic development of</w:t>
      </w:r>
      <w:r w:rsidR="007234E2">
        <w:t xml:space="preserve"> activity in</w:t>
      </w:r>
      <w:r w:rsidRPr="00E06617">
        <w:t xml:space="preserve"> networks on </w:t>
      </w:r>
      <w:proofErr w:type="spellStart"/>
      <w:r w:rsidRPr="00E06617">
        <w:t>mwMEAs</w:t>
      </w:r>
      <w:proofErr w:type="spellEnd"/>
      <w:r w:rsidRPr="00E06617">
        <w:t xml:space="preserve"> needs to be described in detail.</w:t>
      </w:r>
      <w:r w:rsidR="00DD4E32" w:rsidRPr="00E06617">
        <w:t xml:space="preserve"> In lower throughput MEA systems, neural network development has been demonstrated to transition from low activity at early developmental ages (e.g. the first week in vitro), to one of coordinated bursting</w:t>
      </w:r>
      <w:r w:rsidR="001F38A6" w:rsidRPr="00E06617">
        <w:t>, network spikes</w:t>
      </w:r>
      <w:r w:rsidR="00DD4E32" w:rsidRPr="00E06617">
        <w:t xml:space="preserve"> and synchrony at later time points (e.g. the second week in vitro and beyond). </w:t>
      </w:r>
      <w:r w:rsidR="001F38A6" w:rsidRPr="00E06617">
        <w:t xml:space="preserve">While it is expected that such properties will be retained in multi-well systems, it remains to be demonstrated, and the </w:t>
      </w:r>
      <w:r w:rsidR="00602D08" w:rsidRPr="00E06617">
        <w:t xml:space="preserve">time-course, variability and other characteristics defined. Further, while single-well MEAs contain ~60 microelectrodes, only 12 well </w:t>
      </w:r>
      <w:proofErr w:type="spellStart"/>
      <w:r w:rsidR="00602D08" w:rsidRPr="00E06617">
        <w:t>mwMEA</w:t>
      </w:r>
      <w:proofErr w:type="spellEnd"/>
      <w:r w:rsidR="00602D08" w:rsidRPr="00E06617">
        <w:t xml:space="preserve"> plates have an equivalent number</w:t>
      </w:r>
      <w:r w:rsidR="00BA2313" w:rsidRPr="00E06617">
        <w:t xml:space="preserve"> (64/well)</w:t>
      </w:r>
      <w:r w:rsidR="00602D08" w:rsidRPr="00E06617">
        <w:t xml:space="preserve">, and </w:t>
      </w:r>
      <w:r w:rsidR="00BA2313" w:rsidRPr="00E06617">
        <w:t>the extent to which network properties can be defined with fewer electrodes has not been determined.</w:t>
      </w:r>
    </w:p>
    <w:p w14:paraId="342B6568" w14:textId="2400B404" w:rsidR="00D20ED6" w:rsidRPr="00E06617" w:rsidRDefault="00D20ED6" w:rsidP="0088293E">
      <w:pPr>
        <w:spacing w:line="480" w:lineRule="auto"/>
        <w:ind w:firstLine="720"/>
        <w:contextualSpacing/>
      </w:pPr>
      <w:r w:rsidRPr="00E06617">
        <w:t xml:space="preserve">The present studies describe the development of networks of mixed primary cortical cultures in 48 well </w:t>
      </w:r>
      <w:proofErr w:type="spellStart"/>
      <w:r w:rsidRPr="00E06617">
        <w:t>mwMEA</w:t>
      </w:r>
      <w:proofErr w:type="spellEnd"/>
      <w:r w:rsidRPr="00E06617">
        <w:t xml:space="preserve"> plates</w:t>
      </w:r>
      <w:r w:rsidR="007234E2">
        <w:t xml:space="preserve"> containing 16 microelectrodes/well</w:t>
      </w:r>
      <w:r w:rsidRPr="00E06617">
        <w:t>. These cultures were prepared from newborn rat cortex and contain excitatory and inhibitory neurons as well as glia (</w:t>
      </w:r>
      <w:proofErr w:type="spellStart"/>
      <w:r w:rsidR="00A84680">
        <w:t>Harrill</w:t>
      </w:r>
      <w:proofErr w:type="spellEnd"/>
      <w:r w:rsidR="00A84680">
        <w:t xml:space="preserve"> et al., 2015</w:t>
      </w:r>
      <w:r w:rsidRPr="00E06617">
        <w:t xml:space="preserve">). Over the first two weeks in vitro, the neurons extend axons and </w:t>
      </w:r>
      <w:r w:rsidR="0088293E" w:rsidRPr="00E06617">
        <w:t>dendrites (</w:t>
      </w:r>
      <w:proofErr w:type="spellStart"/>
      <w:r w:rsidR="0088293E" w:rsidRPr="00E06617">
        <w:t>Harrill</w:t>
      </w:r>
      <w:proofErr w:type="spellEnd"/>
      <w:r w:rsidR="0088293E" w:rsidRPr="00E06617">
        <w:t xml:space="preserve"> et al., 2013</w:t>
      </w:r>
      <w:r w:rsidRPr="00E06617">
        <w:t xml:space="preserve">), </w:t>
      </w:r>
      <w:proofErr w:type="gramStart"/>
      <w:r w:rsidRPr="00E06617">
        <w:t>form synapses (</w:t>
      </w:r>
      <w:proofErr w:type="spellStart"/>
      <w:r w:rsidRPr="00E06617">
        <w:t>Harrill</w:t>
      </w:r>
      <w:proofErr w:type="spellEnd"/>
      <w:r w:rsidRPr="00E06617">
        <w:t xml:space="preserve"> et al.</w:t>
      </w:r>
      <w:r w:rsidR="0088293E" w:rsidRPr="00E06617">
        <w:t>, 2011</w:t>
      </w:r>
      <w:r w:rsidRPr="00E06617">
        <w:t>) and</w:t>
      </w:r>
      <w:r w:rsidR="00552332" w:rsidRPr="00E06617">
        <w:t>,</w:t>
      </w:r>
      <w:r w:rsidRPr="00E06617">
        <w:t xml:space="preserve"> </w:t>
      </w:r>
      <w:r w:rsidR="00552332" w:rsidRPr="00E06617">
        <w:t xml:space="preserve">in single well MEA systems, </w:t>
      </w:r>
      <w:r w:rsidRPr="00E06617">
        <w:t>develop</w:t>
      </w:r>
      <w:proofErr w:type="gramEnd"/>
      <w:r w:rsidRPr="00E06617">
        <w:t xml:space="preserve"> spontaneous network activity (Robinette et al., 2011). The present studies characterized the ontogeny of activity of these cultures in </w:t>
      </w:r>
      <w:proofErr w:type="spellStart"/>
      <w:r w:rsidRPr="00E06617">
        <w:t>mwMEAs</w:t>
      </w:r>
      <w:proofErr w:type="spellEnd"/>
      <w:r w:rsidRPr="00E06617">
        <w:t xml:space="preserve"> by </w:t>
      </w:r>
      <w:r w:rsidRPr="00E06617">
        <w:lastRenderedPageBreak/>
        <w:t>describing the firing</w:t>
      </w:r>
      <w:r w:rsidR="00BA2313" w:rsidRPr="00E06617">
        <w:t>,</w:t>
      </w:r>
      <w:r w:rsidRPr="00E06617">
        <w:t xml:space="preserve"> bursting</w:t>
      </w:r>
      <w:r w:rsidR="00BA2313" w:rsidRPr="00E06617">
        <w:t>, synchrony and network spike</w:t>
      </w:r>
      <w:r w:rsidRPr="00E06617">
        <w:t xml:space="preserve"> properties over the first 12 days in vitro (DIV).</w:t>
      </w:r>
      <w:r w:rsidR="00DD4E32" w:rsidRPr="00E06617">
        <w:t xml:space="preserve"> </w:t>
      </w:r>
    </w:p>
    <w:p w14:paraId="556BDB65" w14:textId="77777777" w:rsidR="00D20ED6" w:rsidRPr="00E47F94" w:rsidRDefault="00C24E91">
      <w:pPr>
        <w:pStyle w:val="Heading2"/>
        <w:rPr>
          <w:rFonts w:asciiTheme="minorHAnsi" w:hAnsiTheme="minorHAnsi"/>
          <w:sz w:val="24"/>
          <w:szCs w:val="24"/>
        </w:rPr>
      </w:pPr>
      <w:bookmarkStart w:id="1" w:name="suggested-authorship"/>
      <w:bookmarkStart w:id="2" w:name="methods"/>
      <w:bookmarkEnd w:id="1"/>
      <w:bookmarkEnd w:id="2"/>
      <w:r w:rsidRPr="00E47F94">
        <w:rPr>
          <w:rFonts w:asciiTheme="minorHAnsi" w:hAnsiTheme="minorHAnsi"/>
          <w:sz w:val="24"/>
          <w:szCs w:val="24"/>
        </w:rPr>
        <w:t>Methods</w:t>
      </w:r>
    </w:p>
    <w:p w14:paraId="6B0D9B9B" w14:textId="77777777" w:rsidR="00F4707A" w:rsidRPr="00E47F94" w:rsidRDefault="00C24E91">
      <w:pPr>
        <w:pStyle w:val="Heading3"/>
        <w:rPr>
          <w:rFonts w:asciiTheme="minorHAnsi" w:hAnsiTheme="minorHAnsi"/>
          <w:sz w:val="24"/>
          <w:szCs w:val="24"/>
        </w:rPr>
      </w:pPr>
      <w:bookmarkStart w:id="3" w:name="experimental-protocol"/>
      <w:bookmarkEnd w:id="3"/>
      <w:r w:rsidRPr="00E47F94">
        <w:rPr>
          <w:rFonts w:asciiTheme="minorHAnsi" w:hAnsiTheme="minorHAnsi"/>
          <w:sz w:val="24"/>
          <w:szCs w:val="24"/>
        </w:rPr>
        <w:t>Experimental Protocol</w:t>
      </w:r>
    </w:p>
    <w:p w14:paraId="041773C9" w14:textId="1585D7CD" w:rsidR="00EE1DCE" w:rsidRPr="00E47F94" w:rsidRDefault="00EE1DCE" w:rsidP="00EE1DCE">
      <w:pPr>
        <w:spacing w:line="480" w:lineRule="auto"/>
        <w:contextualSpacing/>
        <w:rPr>
          <w:rFonts w:cs="Times New Roman"/>
        </w:rPr>
      </w:pPr>
      <w:r w:rsidRPr="00E06617">
        <w:tab/>
      </w:r>
      <w:r w:rsidRPr="007234E2">
        <w:rPr>
          <w:b/>
        </w:rPr>
        <w:t>Cell Culture.</w:t>
      </w:r>
      <w:r w:rsidRPr="00E06617">
        <w:t xml:space="preserve"> </w:t>
      </w:r>
      <w:proofErr w:type="gramStart"/>
      <w:r w:rsidRPr="00E47F94">
        <w:rPr>
          <w:rFonts w:cs="Times New Roman"/>
        </w:rPr>
        <w:t>All procedures using animals were approved by the National Health and Environmental Effects Laboratory Institutional Animal Use and Care Committee</w:t>
      </w:r>
      <w:proofErr w:type="gramEnd"/>
      <w:r w:rsidRPr="00E47F94">
        <w:rPr>
          <w:rFonts w:cs="Times New Roman"/>
        </w:rPr>
        <w:t>. Primary cultures were prepared from the cortex of rat pups as described previously (Valdivia et al., 2014</w:t>
      </w:r>
      <w:r w:rsidR="00A84680">
        <w:rPr>
          <w:rFonts w:cs="Times New Roman"/>
        </w:rPr>
        <w:t xml:space="preserve">; </w:t>
      </w:r>
      <w:proofErr w:type="spellStart"/>
      <w:r w:rsidR="00A84680">
        <w:rPr>
          <w:rFonts w:cs="Times New Roman"/>
        </w:rPr>
        <w:t>Harrill</w:t>
      </w:r>
      <w:proofErr w:type="spellEnd"/>
      <w:r w:rsidR="00A84680">
        <w:rPr>
          <w:rFonts w:cs="Times New Roman"/>
        </w:rPr>
        <w:t xml:space="preserve"> et al., 2015</w:t>
      </w:r>
      <w:r w:rsidRPr="00E47F94">
        <w:rPr>
          <w:rFonts w:cs="Times New Roman"/>
        </w:rPr>
        <w:t>). Cells were plated (1.5 x 10</w:t>
      </w:r>
      <w:r w:rsidRPr="00E47F94">
        <w:rPr>
          <w:rFonts w:cs="Times New Roman"/>
          <w:vertAlign w:val="superscript"/>
        </w:rPr>
        <w:t>5</w:t>
      </w:r>
      <w:r w:rsidRPr="00E47F94">
        <w:rPr>
          <w:rFonts w:cs="Times New Roman"/>
        </w:rPr>
        <w:t xml:space="preserve"> cells in a 25 µl drop of </w:t>
      </w:r>
      <w:commentRangeStart w:id="4"/>
      <w:r w:rsidRPr="00E47F94">
        <w:rPr>
          <w:rFonts w:cs="Times New Roman"/>
        </w:rPr>
        <w:t>media</w:t>
      </w:r>
      <w:commentRangeEnd w:id="4"/>
      <w:r w:rsidR="007234E2">
        <w:rPr>
          <w:rStyle w:val="CommentReference"/>
        </w:rPr>
        <w:commentReference w:id="4"/>
      </w:r>
      <w:r w:rsidRPr="00E47F94">
        <w:rPr>
          <w:rFonts w:cs="Times New Roman"/>
        </w:rPr>
        <w:t xml:space="preserve">) onto the surface of 48 well MEA plates </w:t>
      </w:r>
      <w:r w:rsidR="00A84680">
        <w:rPr>
          <w:rFonts w:cs="Times New Roman"/>
        </w:rPr>
        <w:t xml:space="preserve">(16 electrodes/well) </w:t>
      </w:r>
      <w:r w:rsidRPr="00E47F94">
        <w:rPr>
          <w:rFonts w:cs="Times New Roman"/>
        </w:rPr>
        <w:t xml:space="preserve">that had been pre-coated with </w:t>
      </w:r>
      <w:proofErr w:type="spellStart"/>
      <w:r w:rsidRPr="00E47F94">
        <w:rPr>
          <w:rFonts w:cs="Times New Roman"/>
        </w:rPr>
        <w:t>polyethylenimine</w:t>
      </w:r>
      <w:proofErr w:type="spellEnd"/>
      <w:r w:rsidRPr="00E47F94">
        <w:rPr>
          <w:rFonts w:cs="Times New Roman"/>
        </w:rPr>
        <w:t xml:space="preserve"> (PEI) as previously described (Valdivia et al., 2014). </w:t>
      </w:r>
    </w:p>
    <w:p w14:paraId="28D1274F" w14:textId="0EAA5289" w:rsidR="00EE1DCE" w:rsidRPr="00E47F94" w:rsidRDefault="00EE1DCE" w:rsidP="007234E2">
      <w:pPr>
        <w:spacing w:line="480" w:lineRule="auto"/>
        <w:ind w:firstLine="720"/>
        <w:contextualSpacing/>
        <w:rPr>
          <w:rFonts w:cs="Times New Roman"/>
        </w:rPr>
      </w:pPr>
      <w:r w:rsidRPr="007234E2">
        <w:rPr>
          <w:rFonts w:cs="Times New Roman"/>
          <w:b/>
        </w:rPr>
        <w:t>MEA Recordings</w:t>
      </w:r>
      <w:r w:rsidRPr="00E47F94">
        <w:rPr>
          <w:rFonts w:cs="Times New Roman"/>
        </w:rPr>
        <w:t>.</w:t>
      </w:r>
      <w:r w:rsidR="000A6775" w:rsidRPr="00E47F94">
        <w:rPr>
          <w:rFonts w:cs="Times New Roman"/>
        </w:rPr>
        <w:t xml:space="preserve"> </w:t>
      </w:r>
      <w:r w:rsidR="00167DF0" w:rsidRPr="00E47F94">
        <w:rPr>
          <w:rFonts w:cs="Times New Roman"/>
        </w:rPr>
        <w:t>S</w:t>
      </w:r>
      <w:r w:rsidRPr="00E47F94">
        <w:rPr>
          <w:rFonts w:cs="Times New Roman"/>
        </w:rPr>
        <w:t xml:space="preserve">pontaneous network activity was recorded using </w:t>
      </w:r>
      <w:proofErr w:type="spellStart"/>
      <w:r w:rsidRPr="00E47F94">
        <w:rPr>
          <w:rFonts w:cs="Times New Roman"/>
        </w:rPr>
        <w:t>Axion</w:t>
      </w:r>
      <w:proofErr w:type="spellEnd"/>
      <w:r w:rsidRPr="00E47F94">
        <w:rPr>
          <w:rFonts w:cs="Times New Roman"/>
        </w:rPr>
        <w:t xml:space="preserve"> </w:t>
      </w:r>
      <w:proofErr w:type="spellStart"/>
      <w:r w:rsidRPr="00E47F94">
        <w:rPr>
          <w:rFonts w:cs="Times New Roman"/>
        </w:rPr>
        <w:t>Biosystems</w:t>
      </w:r>
      <w:proofErr w:type="spellEnd"/>
      <w:r w:rsidRPr="00E47F94">
        <w:rPr>
          <w:rFonts w:cs="Times New Roman"/>
        </w:rPr>
        <w:t xml:space="preserve"> Maestro 768 channel amplifier and </w:t>
      </w:r>
      <w:proofErr w:type="spellStart"/>
      <w:r w:rsidRPr="00E47F94">
        <w:rPr>
          <w:rFonts w:cs="Times New Roman"/>
        </w:rPr>
        <w:t>Axion</w:t>
      </w:r>
      <w:proofErr w:type="spellEnd"/>
      <w:r w:rsidRPr="00E47F94">
        <w:rPr>
          <w:rFonts w:cs="Times New Roman"/>
        </w:rPr>
        <w:t xml:space="preserve"> Integrated Studios (</w:t>
      </w:r>
      <w:proofErr w:type="spellStart"/>
      <w:r w:rsidRPr="00E47F94">
        <w:rPr>
          <w:rFonts w:cs="Times New Roman"/>
        </w:rPr>
        <w:t>AxIS</w:t>
      </w:r>
      <w:proofErr w:type="spellEnd"/>
      <w:r w:rsidRPr="00E47F94">
        <w:rPr>
          <w:rFonts w:cs="Times New Roman"/>
        </w:rPr>
        <w:t xml:space="preserve">) v1.9 (or later) software. The amplifier recorded from all channels simultaneously using a gain of 1200x and a sampling rate of 12.5 kHz/channel. After passing the signal through a Butterworth band-pass filter (300-5000 Hz) on-line spike detection (threshold = 8x </w:t>
      </w:r>
      <w:proofErr w:type="spellStart"/>
      <w:r w:rsidRPr="00E47F94">
        <w:rPr>
          <w:rFonts w:cs="Times New Roman"/>
        </w:rPr>
        <w:t>rms</w:t>
      </w:r>
      <w:proofErr w:type="spellEnd"/>
      <w:r w:rsidRPr="00E47F94">
        <w:rPr>
          <w:rFonts w:cs="Times New Roman"/>
        </w:rPr>
        <w:t xml:space="preserve"> noise on each channel) was done with the </w:t>
      </w:r>
      <w:proofErr w:type="spellStart"/>
      <w:r w:rsidRPr="00E47F94">
        <w:rPr>
          <w:rFonts w:cs="Times New Roman"/>
        </w:rPr>
        <w:t>AxIS</w:t>
      </w:r>
      <w:proofErr w:type="spellEnd"/>
      <w:r w:rsidRPr="00E47F94">
        <w:rPr>
          <w:rFonts w:cs="Times New Roman"/>
        </w:rPr>
        <w:t xml:space="preserve"> adaptive spike detector. On days in vitro (DIV) 5, 7, 9</w:t>
      </w:r>
      <w:r w:rsidR="00CE6F86" w:rsidRPr="00E47F94">
        <w:rPr>
          <w:rFonts w:cs="Times New Roman"/>
        </w:rPr>
        <w:t xml:space="preserve">, </w:t>
      </w:r>
      <w:r w:rsidR="00A633FB" w:rsidRPr="00E47F94">
        <w:rPr>
          <w:rFonts w:cs="Times New Roman"/>
        </w:rPr>
        <w:t xml:space="preserve">and </w:t>
      </w:r>
      <w:r w:rsidR="00CE6F86" w:rsidRPr="00E47F94">
        <w:rPr>
          <w:rFonts w:cs="Times New Roman"/>
        </w:rPr>
        <w:t>12</w:t>
      </w:r>
      <w:proofErr w:type="gramStart"/>
      <w:r w:rsidR="00A633FB" w:rsidRPr="00E47F94">
        <w:rPr>
          <w:rFonts w:cs="Times New Roman"/>
        </w:rPr>
        <w:t>,</w:t>
      </w:r>
      <w:r w:rsidRPr="00E47F94">
        <w:rPr>
          <w:rFonts w:cs="Times New Roman"/>
        </w:rPr>
        <w:t xml:space="preserve">  plates</w:t>
      </w:r>
      <w:proofErr w:type="gramEnd"/>
      <w:r w:rsidRPr="00E47F94">
        <w:rPr>
          <w:rFonts w:cs="Times New Roman"/>
        </w:rPr>
        <w:t xml:space="preserve"> were placed into the Maestro amplifier and allowed 5 min to equilibrate, after which </w:t>
      </w:r>
      <w:r w:rsidR="00490C15" w:rsidRPr="00E47F94">
        <w:rPr>
          <w:rFonts w:cs="Times New Roman"/>
        </w:rPr>
        <w:t>1</w:t>
      </w:r>
      <w:r w:rsidRPr="00E47F94">
        <w:rPr>
          <w:rFonts w:cs="Times New Roman"/>
        </w:rPr>
        <w:t>5 min of activity was recorded. All recordings were conducted at 37 °C</w:t>
      </w:r>
      <w:r w:rsidR="00490C15" w:rsidRPr="00E47F94">
        <w:rPr>
          <w:rFonts w:cs="Times New Roman"/>
        </w:rPr>
        <w:t xml:space="preserve">, and since development of activity was being studied, there were no </w:t>
      </w:r>
      <w:r w:rsidR="00490C15" w:rsidRPr="00E47F94">
        <w:rPr>
          <w:rFonts w:cs="Times New Roman"/>
          <w:i/>
        </w:rPr>
        <w:t>a priori</w:t>
      </w:r>
      <w:r w:rsidR="00490C15" w:rsidRPr="00E47F94">
        <w:rPr>
          <w:rFonts w:cs="Times New Roman"/>
        </w:rPr>
        <w:t xml:space="preserve"> thresholds for minimum numbers of active electrodes for inclusion of a well in the data set</w:t>
      </w:r>
      <w:r w:rsidRPr="00E47F94">
        <w:rPr>
          <w:rFonts w:cs="Times New Roman"/>
        </w:rPr>
        <w:t>.</w:t>
      </w:r>
    </w:p>
    <w:p w14:paraId="63102D8F" w14:textId="01F34E48" w:rsidR="00BF647B" w:rsidRPr="00E47F94" w:rsidRDefault="00F87C11" w:rsidP="00BF647B">
      <w:pPr>
        <w:pStyle w:val="Heading3"/>
        <w:rPr>
          <w:rFonts w:asciiTheme="minorHAnsi" w:hAnsiTheme="minorHAnsi"/>
          <w:sz w:val="24"/>
          <w:szCs w:val="24"/>
        </w:rPr>
      </w:pPr>
      <w:r w:rsidRPr="00E47F94">
        <w:rPr>
          <w:rFonts w:asciiTheme="minorHAnsi" w:hAnsiTheme="minorHAnsi"/>
          <w:sz w:val="24"/>
          <w:szCs w:val="24"/>
        </w:rPr>
        <w:t>Data</w:t>
      </w:r>
    </w:p>
    <w:p w14:paraId="23B170C7" w14:textId="55CC42F7" w:rsidR="00BF647B" w:rsidRPr="00E47F94" w:rsidRDefault="00A633FB" w:rsidP="007C5061">
      <w:pPr>
        <w:spacing w:line="480" w:lineRule="auto"/>
        <w:contextualSpacing/>
        <w:rPr>
          <w:rFonts w:cs="Times New Roman"/>
        </w:rPr>
      </w:pPr>
      <w:r w:rsidRPr="00E47F94">
        <w:rPr>
          <w:rFonts w:cs="Times New Roman"/>
        </w:rPr>
        <w:t xml:space="preserve">Recordings were made from </w:t>
      </w:r>
      <w:r w:rsidR="00B25709" w:rsidRPr="00E47F94">
        <w:rPr>
          <w:rFonts w:cs="Times New Roman"/>
        </w:rPr>
        <w:t>656 wells across</w:t>
      </w:r>
      <w:r w:rsidR="00602218" w:rsidRPr="00E47F94">
        <w:rPr>
          <w:rFonts w:cs="Times New Roman"/>
        </w:rPr>
        <w:t xml:space="preserve"> </w:t>
      </w:r>
      <w:r w:rsidR="000C3093" w:rsidRPr="00E47F94">
        <w:rPr>
          <w:rFonts w:cs="Times New Roman"/>
        </w:rPr>
        <w:t xml:space="preserve">16 </w:t>
      </w:r>
      <w:r w:rsidRPr="00E47F94">
        <w:rPr>
          <w:rFonts w:cs="Times New Roman"/>
        </w:rPr>
        <w:t xml:space="preserve">MEA </w:t>
      </w:r>
      <w:r w:rsidR="00E37147" w:rsidRPr="00E47F94">
        <w:rPr>
          <w:rFonts w:cs="Times New Roman"/>
        </w:rPr>
        <w:t>plates</w:t>
      </w:r>
      <w:r w:rsidRPr="00E47F94">
        <w:rPr>
          <w:rFonts w:cs="Times New Roman"/>
        </w:rPr>
        <w:t xml:space="preserve"> from </w:t>
      </w:r>
      <w:r w:rsidR="00B25709" w:rsidRPr="00E47F94">
        <w:rPr>
          <w:rFonts w:cs="Times New Roman"/>
        </w:rPr>
        <w:t>15</w:t>
      </w:r>
      <w:r w:rsidR="00E37147" w:rsidRPr="00E47F94">
        <w:rPr>
          <w:rFonts w:cs="Times New Roman"/>
        </w:rPr>
        <w:t xml:space="preserve"> </w:t>
      </w:r>
      <w:r w:rsidRPr="00E47F94">
        <w:rPr>
          <w:rFonts w:cs="Times New Roman"/>
        </w:rPr>
        <w:t xml:space="preserve">primary </w:t>
      </w:r>
      <w:r w:rsidR="00680984" w:rsidRPr="00E47F94">
        <w:rPr>
          <w:rFonts w:cs="Times New Roman"/>
        </w:rPr>
        <w:t>cortical</w:t>
      </w:r>
      <w:r w:rsidRPr="00E47F94">
        <w:rPr>
          <w:rFonts w:cs="Times New Roman"/>
        </w:rPr>
        <w:t xml:space="preserve"> cultures</w:t>
      </w:r>
      <w:r w:rsidR="00486C10" w:rsidRPr="00E47F94">
        <w:rPr>
          <w:rFonts w:cs="Times New Roman"/>
        </w:rPr>
        <w:t xml:space="preserve"> at DIV 5, 7, 9 and 12</w:t>
      </w:r>
      <w:r w:rsidR="00E47F94">
        <w:rPr>
          <w:rFonts w:cs="Times New Roman"/>
        </w:rPr>
        <w:t xml:space="preserve"> for a total of 64 “plate-recordings”</w:t>
      </w:r>
      <w:r w:rsidR="00486C10" w:rsidRPr="00E47F94">
        <w:rPr>
          <w:rFonts w:cs="Times New Roman"/>
        </w:rPr>
        <w:t xml:space="preserve">. </w:t>
      </w:r>
      <w:r w:rsidR="00602218" w:rsidRPr="00E47F94">
        <w:rPr>
          <w:rFonts w:cs="Times New Roman"/>
        </w:rPr>
        <w:t xml:space="preserve">The majority of these </w:t>
      </w:r>
      <w:r w:rsidR="00602218" w:rsidRPr="00E47F94">
        <w:rPr>
          <w:rFonts w:cs="Times New Roman"/>
        </w:rPr>
        <w:lastRenderedPageBreak/>
        <w:t>plates were used on or around DIV 14 for other experiments.</w:t>
      </w:r>
      <w:r w:rsidR="001F2B4A" w:rsidRPr="00E47F94">
        <w:rPr>
          <w:rFonts w:cs="Times New Roman"/>
        </w:rPr>
        <w:t xml:space="preserve"> A recording of one</w:t>
      </w:r>
      <w:r w:rsidR="00486C10" w:rsidRPr="00E47F94">
        <w:rPr>
          <w:rFonts w:cs="Times New Roman"/>
        </w:rPr>
        <w:t xml:space="preserve"> plate at DIV 12</w:t>
      </w:r>
      <w:r w:rsidR="001F2B4A" w:rsidRPr="00E47F94">
        <w:rPr>
          <w:rFonts w:cs="Times New Roman"/>
        </w:rPr>
        <w:t xml:space="preserve"> was missing from our data set</w:t>
      </w:r>
      <w:r w:rsidR="00486C10" w:rsidRPr="00E47F94">
        <w:rPr>
          <w:rFonts w:cs="Times New Roman"/>
        </w:rPr>
        <w:t xml:space="preserve">, and one recording at DIV 7 was also excluded from the analysis as its very high firing rate suggested that it was an erroneous recording. This resulted in a total of 62 plate recordings, with a total of 2976 well recordings, used in our analysis. </w:t>
      </w:r>
      <w:r w:rsidR="00294423" w:rsidRPr="00E47F94">
        <w:rPr>
          <w:rFonts w:cs="Times New Roman"/>
        </w:rPr>
        <w:t xml:space="preserve"> Activity was usually recorded for 15—30 minutes; </w:t>
      </w:r>
      <w:r w:rsidR="00486C10" w:rsidRPr="00E47F94">
        <w:rPr>
          <w:rFonts w:cs="Times New Roman"/>
        </w:rPr>
        <w:t xml:space="preserve">only the last 15 minutes of each recording was </w:t>
      </w:r>
      <w:proofErr w:type="spellStart"/>
      <w:r w:rsidR="00294423" w:rsidRPr="00E47F94">
        <w:rPr>
          <w:rFonts w:cs="Times New Roman"/>
        </w:rPr>
        <w:t>analysed</w:t>
      </w:r>
      <w:proofErr w:type="spellEnd"/>
      <w:r w:rsidR="00486C10" w:rsidRPr="00E47F94">
        <w:rPr>
          <w:rFonts w:cs="Times New Roman"/>
        </w:rPr>
        <w:t xml:space="preserve">. Features </w:t>
      </w:r>
      <w:r w:rsidR="00405EC8" w:rsidRPr="00E47F94">
        <w:rPr>
          <w:rFonts w:cs="Times New Roman"/>
        </w:rPr>
        <w:t>related to spikes, bursts, network spikes (</w:t>
      </w:r>
      <w:proofErr w:type="spellStart"/>
      <w:r w:rsidR="00405EC8" w:rsidRPr="00E47F94">
        <w:rPr>
          <w:rFonts w:cs="Times New Roman"/>
        </w:rPr>
        <w:t>Eytan</w:t>
      </w:r>
      <w:proofErr w:type="spellEnd"/>
      <w:r w:rsidR="00405EC8" w:rsidRPr="00E47F94">
        <w:rPr>
          <w:rFonts w:cs="Times New Roman"/>
        </w:rPr>
        <w:t xml:space="preserve"> and </w:t>
      </w:r>
      <w:proofErr w:type="spellStart"/>
      <w:r w:rsidR="00405EC8" w:rsidRPr="00E47F94">
        <w:rPr>
          <w:rFonts w:cs="Times New Roman"/>
        </w:rPr>
        <w:t>Marom</w:t>
      </w:r>
      <w:proofErr w:type="spellEnd"/>
      <w:r w:rsidR="00405EC8" w:rsidRPr="00E47F94">
        <w:rPr>
          <w:rFonts w:cs="Times New Roman"/>
        </w:rPr>
        <w:t>, 2006) and correlations (</w:t>
      </w:r>
      <w:proofErr w:type="spellStart"/>
      <w:r w:rsidR="00405EC8" w:rsidRPr="00E47F94">
        <w:rPr>
          <w:rFonts w:cs="Times New Roman"/>
        </w:rPr>
        <w:t>Cutts</w:t>
      </w:r>
      <w:proofErr w:type="spellEnd"/>
      <w:r w:rsidR="00405EC8" w:rsidRPr="00E47F94">
        <w:rPr>
          <w:rFonts w:cs="Times New Roman"/>
        </w:rPr>
        <w:t xml:space="preserve"> and Eglen, 2014) </w:t>
      </w:r>
      <w:r w:rsidR="00486C10" w:rsidRPr="00E47F94">
        <w:rPr>
          <w:rFonts w:cs="Times New Roman"/>
        </w:rPr>
        <w:t xml:space="preserve">were </w:t>
      </w:r>
      <w:r w:rsidR="00BB3B2F" w:rsidRPr="00E47F94">
        <w:rPr>
          <w:rFonts w:cs="Times New Roman"/>
        </w:rPr>
        <w:t>extracted in</w:t>
      </w:r>
      <w:r w:rsidR="00E37147" w:rsidRPr="00E47F94">
        <w:rPr>
          <w:rFonts w:cs="Times New Roman"/>
        </w:rPr>
        <w:t xml:space="preserve"> </w:t>
      </w:r>
      <w:r w:rsidR="00405EC8">
        <w:rPr>
          <w:rFonts w:cs="Times New Roman"/>
        </w:rPr>
        <w:t xml:space="preserve">the </w:t>
      </w:r>
      <w:r w:rsidR="00D878AB" w:rsidRPr="00E47F94">
        <w:rPr>
          <w:rFonts w:cs="Times New Roman"/>
        </w:rPr>
        <w:t xml:space="preserve">R </w:t>
      </w:r>
      <w:r w:rsidR="00255A61" w:rsidRPr="00E47F94">
        <w:rPr>
          <w:rFonts w:cs="Times New Roman"/>
        </w:rPr>
        <w:t xml:space="preserve">programming environment v. </w:t>
      </w:r>
      <w:r w:rsidR="00D878AB" w:rsidRPr="00E47F94">
        <w:rPr>
          <w:rFonts w:cs="Times New Roman"/>
        </w:rPr>
        <w:t>3.0</w:t>
      </w:r>
      <w:r w:rsidR="00BB3B2F" w:rsidRPr="00E47F94">
        <w:rPr>
          <w:rFonts w:cs="Times New Roman"/>
        </w:rPr>
        <w:t xml:space="preserve"> </w:t>
      </w:r>
      <w:r w:rsidR="00486C10" w:rsidRPr="00E47F94">
        <w:rPr>
          <w:rFonts w:cs="Times New Roman"/>
        </w:rPr>
        <w:t xml:space="preserve">using </w:t>
      </w:r>
      <w:r w:rsidR="00255A61" w:rsidRPr="00E47F94">
        <w:rPr>
          <w:rFonts w:cs="Times New Roman"/>
        </w:rPr>
        <w:t xml:space="preserve">two </w:t>
      </w:r>
      <w:r w:rsidR="00E37147" w:rsidRPr="00E47F94">
        <w:rPr>
          <w:rFonts w:cs="Times New Roman"/>
        </w:rPr>
        <w:t>open source R-package</w:t>
      </w:r>
      <w:r w:rsidR="00255A61" w:rsidRPr="00E47F94">
        <w:rPr>
          <w:rFonts w:cs="Times New Roman"/>
        </w:rPr>
        <w:t>s</w:t>
      </w:r>
      <w:r w:rsidR="00E229A2" w:rsidRPr="00E47F94">
        <w:rPr>
          <w:rFonts w:cs="Times New Roman"/>
        </w:rPr>
        <w:t>,</w:t>
      </w:r>
      <w:r w:rsidR="00E37147" w:rsidRPr="00E47F94">
        <w:rPr>
          <w:rFonts w:cs="Times New Roman"/>
        </w:rPr>
        <w:t xml:space="preserve"> </w:t>
      </w:r>
      <w:r w:rsidR="00012841">
        <w:rPr>
          <w:rFonts w:cs="Times New Roman"/>
        </w:rPr>
        <w:t>S</w:t>
      </w:r>
      <w:r w:rsidR="00255A61" w:rsidRPr="00E47F94">
        <w:rPr>
          <w:rFonts w:cs="Times New Roman"/>
        </w:rPr>
        <w:t>JEMEA an</w:t>
      </w:r>
      <w:r w:rsidR="009E5A9D" w:rsidRPr="00E47F94">
        <w:rPr>
          <w:rFonts w:cs="Times New Roman"/>
        </w:rPr>
        <w:t>d MEADQ</w:t>
      </w:r>
      <w:r w:rsidR="00405EC8">
        <w:rPr>
          <w:rFonts w:cs="Times New Roman"/>
        </w:rPr>
        <w:t xml:space="preserve">, </w:t>
      </w:r>
      <w:r w:rsidR="00855239" w:rsidRPr="00E47F94">
        <w:rPr>
          <w:rFonts w:cs="Times New Roman"/>
        </w:rPr>
        <w:t xml:space="preserve">and compiled into </w:t>
      </w:r>
      <w:r w:rsidR="00A6145A" w:rsidRPr="00E47F94">
        <w:rPr>
          <w:rFonts w:cs="Times New Roman"/>
        </w:rPr>
        <w:t xml:space="preserve">a well level data set. </w:t>
      </w:r>
      <w:r w:rsidR="007C5061" w:rsidRPr="007C5061">
        <w:rPr>
          <w:rFonts w:cs="Times New Roman"/>
        </w:rPr>
        <w:t xml:space="preserve">Bursts were detected using an implementation of the </w:t>
      </w:r>
      <w:proofErr w:type="spellStart"/>
      <w:r w:rsidR="007C5061" w:rsidRPr="007C5061">
        <w:rPr>
          <w:rFonts w:cs="Times New Roman"/>
        </w:rPr>
        <w:t>MaxInterval</w:t>
      </w:r>
      <w:proofErr w:type="spellEnd"/>
      <w:r w:rsidR="007C5061">
        <w:rPr>
          <w:rFonts w:cs="Times New Roman"/>
        </w:rPr>
        <w:t xml:space="preserve"> </w:t>
      </w:r>
      <w:r w:rsidR="007C5061" w:rsidRPr="007C5061">
        <w:rPr>
          <w:rFonts w:cs="Times New Roman"/>
        </w:rPr>
        <w:t xml:space="preserve">method by </w:t>
      </w:r>
      <w:proofErr w:type="spellStart"/>
      <w:r w:rsidR="007C5061">
        <w:rPr>
          <w:rFonts w:cs="Times New Roman"/>
        </w:rPr>
        <w:t>N</w:t>
      </w:r>
      <w:r w:rsidR="007C5061" w:rsidRPr="007C5061">
        <w:rPr>
          <w:rFonts w:cs="Times New Roman"/>
        </w:rPr>
        <w:t>euroexplorer</w:t>
      </w:r>
      <w:proofErr w:type="spellEnd"/>
      <w:r w:rsidR="007C5061" w:rsidRPr="007C5061">
        <w:rPr>
          <w:rFonts w:cs="Times New Roman"/>
        </w:rPr>
        <w:t xml:space="preserve"> (</w:t>
      </w:r>
      <w:proofErr w:type="spellStart"/>
      <w:r w:rsidR="007C5061" w:rsidRPr="007C5061">
        <w:rPr>
          <w:rFonts w:cs="Times New Roman"/>
        </w:rPr>
        <w:t>Nex</w:t>
      </w:r>
      <w:proofErr w:type="spellEnd"/>
      <w:r w:rsidR="007C5061" w:rsidRPr="007C5061">
        <w:rPr>
          <w:rFonts w:cs="Times New Roman"/>
        </w:rPr>
        <w:t xml:space="preserve"> Technologies, 2012), with the following</w:t>
      </w:r>
      <w:r w:rsidR="007C5061">
        <w:rPr>
          <w:rFonts w:cs="Times New Roman"/>
        </w:rPr>
        <w:t xml:space="preserve"> </w:t>
      </w:r>
      <w:r w:rsidR="007C5061" w:rsidRPr="007C5061">
        <w:rPr>
          <w:rFonts w:cs="Times New Roman"/>
        </w:rPr>
        <w:t xml:space="preserve">threshold parameters: </w:t>
      </w:r>
      <w:r w:rsidR="007C5061">
        <w:rPr>
          <w:rFonts w:cs="Times New Roman"/>
        </w:rPr>
        <w:t>m</w:t>
      </w:r>
      <w:r w:rsidR="007C5061" w:rsidRPr="007C5061">
        <w:rPr>
          <w:rFonts w:cs="Times New Roman"/>
        </w:rPr>
        <w:t xml:space="preserve">aximum </w:t>
      </w:r>
      <w:proofErr w:type="spellStart"/>
      <w:r w:rsidR="007C5061">
        <w:rPr>
          <w:rFonts w:cs="Times New Roman"/>
        </w:rPr>
        <w:t>interspike</w:t>
      </w:r>
      <w:proofErr w:type="spellEnd"/>
      <w:r w:rsidR="007C5061">
        <w:rPr>
          <w:rFonts w:cs="Times New Roman"/>
        </w:rPr>
        <w:t xml:space="preserve"> interval (</w:t>
      </w:r>
      <w:r w:rsidR="007C5061" w:rsidRPr="007C5061">
        <w:rPr>
          <w:rFonts w:cs="Times New Roman"/>
        </w:rPr>
        <w:t>ISI</w:t>
      </w:r>
      <w:r w:rsidR="007C5061">
        <w:rPr>
          <w:rFonts w:cs="Times New Roman"/>
        </w:rPr>
        <w:t>);</w:t>
      </w:r>
      <w:r w:rsidR="007C5061" w:rsidRPr="007C5061">
        <w:rPr>
          <w:rFonts w:cs="Times New Roman"/>
        </w:rPr>
        <w:t xml:space="preserve"> 0.25 s, maximum beginning ISI</w:t>
      </w:r>
      <w:r w:rsidR="007C5061">
        <w:rPr>
          <w:rFonts w:cs="Times New Roman"/>
        </w:rPr>
        <w:t xml:space="preserve">; </w:t>
      </w:r>
      <w:r w:rsidR="007C5061" w:rsidRPr="007C5061">
        <w:rPr>
          <w:rFonts w:cs="Times New Roman"/>
        </w:rPr>
        <w:t>0.1 s, minimum ISI</w:t>
      </w:r>
      <w:r w:rsidR="007C5061">
        <w:rPr>
          <w:rFonts w:cs="Times New Roman"/>
        </w:rPr>
        <w:t>;</w:t>
      </w:r>
      <w:r w:rsidR="007C5061" w:rsidRPr="007C5061">
        <w:rPr>
          <w:rFonts w:cs="Times New Roman"/>
        </w:rPr>
        <w:t xml:space="preserve"> 0.8 s, minimum burst duration</w:t>
      </w:r>
      <w:r w:rsidR="007C5061">
        <w:rPr>
          <w:rFonts w:cs="Times New Roman"/>
        </w:rPr>
        <w:t>;</w:t>
      </w:r>
      <w:r w:rsidR="007C5061" w:rsidRPr="007C5061">
        <w:rPr>
          <w:rFonts w:cs="Times New Roman"/>
        </w:rPr>
        <w:t xml:space="preserve"> 0.05 s and minimum</w:t>
      </w:r>
      <w:r w:rsidR="007C5061">
        <w:rPr>
          <w:rFonts w:cs="Times New Roman"/>
        </w:rPr>
        <w:t xml:space="preserve"> </w:t>
      </w:r>
      <w:r w:rsidR="007C5061" w:rsidRPr="007C5061">
        <w:rPr>
          <w:rFonts w:cs="Times New Roman"/>
        </w:rPr>
        <w:t>number of spikes in a burst</w:t>
      </w:r>
      <w:r w:rsidR="007C5061">
        <w:rPr>
          <w:rFonts w:cs="Times New Roman"/>
        </w:rPr>
        <w:t>;</w:t>
      </w:r>
      <w:r w:rsidR="007C5061" w:rsidRPr="007C5061">
        <w:rPr>
          <w:rFonts w:cs="Times New Roman"/>
        </w:rPr>
        <w:t xml:space="preserve"> 6.</w:t>
      </w:r>
      <w:r w:rsidR="007C5061">
        <w:rPr>
          <w:rFonts w:cs="Times New Roman"/>
        </w:rPr>
        <w:t xml:space="preserve"> </w:t>
      </w:r>
      <w:r w:rsidR="00972CF9">
        <w:rPr>
          <w:rFonts w:cs="Times New Roman"/>
        </w:rPr>
        <w:t>Network s</w:t>
      </w:r>
      <w:r w:rsidR="007C5061">
        <w:rPr>
          <w:rFonts w:cs="Times New Roman"/>
        </w:rPr>
        <w:t xml:space="preserve">pikes were </w:t>
      </w:r>
      <w:r w:rsidR="00405EC8">
        <w:rPr>
          <w:rFonts w:cs="Times New Roman"/>
        </w:rPr>
        <w:t xml:space="preserve">identified </w:t>
      </w:r>
      <w:r w:rsidR="007C5061">
        <w:rPr>
          <w:rFonts w:cs="Times New Roman"/>
        </w:rPr>
        <w:t xml:space="preserve">by dividing </w:t>
      </w:r>
      <w:r w:rsidR="002073F2">
        <w:rPr>
          <w:rFonts w:cs="Times New Roman"/>
        </w:rPr>
        <w:t>t</w:t>
      </w:r>
      <w:r w:rsidR="007C5061" w:rsidRPr="007C5061">
        <w:rPr>
          <w:rFonts w:cs="Times New Roman"/>
        </w:rPr>
        <w:t xml:space="preserve">he </w:t>
      </w:r>
      <w:r w:rsidR="007C5061">
        <w:rPr>
          <w:rFonts w:cs="Times New Roman"/>
        </w:rPr>
        <w:t>r</w:t>
      </w:r>
      <w:r w:rsidR="007C5061" w:rsidRPr="007C5061">
        <w:rPr>
          <w:rFonts w:cs="Times New Roman"/>
        </w:rPr>
        <w:t xml:space="preserve">ecording period into 3ms bins and </w:t>
      </w:r>
      <w:r w:rsidR="007C5061">
        <w:rPr>
          <w:rFonts w:cs="Times New Roman"/>
        </w:rPr>
        <w:t xml:space="preserve">determining </w:t>
      </w:r>
      <w:r w:rsidR="007C5061" w:rsidRPr="007C5061">
        <w:rPr>
          <w:rFonts w:cs="Times New Roman"/>
        </w:rPr>
        <w:t>the number of</w:t>
      </w:r>
      <w:r w:rsidR="007C5061">
        <w:rPr>
          <w:rFonts w:cs="Times New Roman"/>
        </w:rPr>
        <w:t xml:space="preserve"> </w:t>
      </w:r>
      <w:r w:rsidR="007C5061" w:rsidRPr="007C5061">
        <w:rPr>
          <w:rFonts w:cs="Times New Roman"/>
        </w:rPr>
        <w:t xml:space="preserve">electrodes </w:t>
      </w:r>
      <w:r w:rsidR="007C5061">
        <w:rPr>
          <w:rFonts w:cs="Times New Roman"/>
        </w:rPr>
        <w:t>i</w:t>
      </w:r>
      <w:r w:rsidR="007C5061" w:rsidRPr="007C5061">
        <w:rPr>
          <w:rFonts w:cs="Times New Roman"/>
        </w:rPr>
        <w:t xml:space="preserve">n </w:t>
      </w:r>
      <w:r w:rsidR="00972CF9">
        <w:rPr>
          <w:rFonts w:cs="Times New Roman"/>
        </w:rPr>
        <w:t>the</w:t>
      </w:r>
      <w:r w:rsidR="007C5061" w:rsidRPr="007C5061">
        <w:rPr>
          <w:rFonts w:cs="Times New Roman"/>
        </w:rPr>
        <w:t xml:space="preserve"> well that fired at least one spike during each bin</w:t>
      </w:r>
      <w:r w:rsidR="00972CF9">
        <w:rPr>
          <w:rFonts w:cs="Times New Roman"/>
        </w:rPr>
        <w:t>;</w:t>
      </w:r>
      <w:r w:rsidR="007C5061" w:rsidRPr="007C5061">
        <w:rPr>
          <w:rFonts w:cs="Times New Roman"/>
        </w:rPr>
        <w:t xml:space="preserve"> </w:t>
      </w:r>
      <w:r w:rsidR="00972CF9">
        <w:rPr>
          <w:rFonts w:cs="Times New Roman"/>
        </w:rPr>
        <w:t>the minimum threshold for a</w:t>
      </w:r>
      <w:r w:rsidR="007C5061" w:rsidRPr="007C5061">
        <w:rPr>
          <w:rFonts w:cs="Times New Roman"/>
        </w:rPr>
        <w:t xml:space="preserve"> network spike was </w:t>
      </w:r>
      <w:r w:rsidR="00972CF9">
        <w:rPr>
          <w:rFonts w:cs="Times New Roman"/>
        </w:rPr>
        <w:t>for spike activity to be present on at least 5 electrodes in a given time bin.</w:t>
      </w:r>
      <w:r w:rsidR="007C5061">
        <w:rPr>
          <w:rFonts w:cs="Times New Roman"/>
        </w:rPr>
        <w:t xml:space="preserve"> </w:t>
      </w:r>
      <w:r w:rsidR="00446EC9">
        <w:rPr>
          <w:rFonts w:cs="Times New Roman"/>
        </w:rPr>
        <w:t xml:space="preserve">Data files generated by Axis were converted into HDF5 file format </w:t>
      </w:r>
      <w:r w:rsidR="00446EC9" w:rsidRPr="00E47F94">
        <w:rPr>
          <w:rFonts w:cs="Times New Roman"/>
        </w:rPr>
        <w:t>(Eglen et al., 2014)</w:t>
      </w:r>
      <w:proofErr w:type="gramStart"/>
      <w:r w:rsidR="00446EC9">
        <w:rPr>
          <w:rFonts w:cs="Times New Roman"/>
        </w:rPr>
        <w:t xml:space="preserve">; </w:t>
      </w:r>
      <w:r w:rsidR="00680984" w:rsidRPr="00E47F94">
        <w:rPr>
          <w:rFonts w:cs="Times New Roman"/>
        </w:rPr>
        <w:t xml:space="preserve"> </w:t>
      </w:r>
      <w:commentRangeStart w:id="5"/>
      <w:r w:rsidR="00A6145A" w:rsidRPr="00E47F94">
        <w:rPr>
          <w:rFonts w:cs="Times New Roman"/>
        </w:rPr>
        <w:t>HDF5</w:t>
      </w:r>
      <w:proofErr w:type="gramEnd"/>
      <w:r w:rsidR="00A6145A" w:rsidRPr="00E47F94">
        <w:rPr>
          <w:rFonts w:cs="Times New Roman"/>
        </w:rPr>
        <w:t xml:space="preserve"> file</w:t>
      </w:r>
      <w:r w:rsidR="00446EC9">
        <w:rPr>
          <w:rFonts w:cs="Times New Roman"/>
        </w:rPr>
        <w:t>s</w:t>
      </w:r>
      <w:r w:rsidR="00680984" w:rsidRPr="00E47F94">
        <w:rPr>
          <w:rFonts w:cs="Times New Roman"/>
        </w:rPr>
        <w:t xml:space="preserve">, </w:t>
      </w:r>
      <w:commentRangeEnd w:id="5"/>
      <w:r w:rsidR="00446EC9">
        <w:rPr>
          <w:rStyle w:val="CommentReference"/>
        </w:rPr>
        <w:commentReference w:id="5"/>
      </w:r>
      <w:r w:rsidR="00680984" w:rsidRPr="00E47F94">
        <w:rPr>
          <w:rFonts w:cs="Times New Roman"/>
        </w:rPr>
        <w:t xml:space="preserve">scripts to generate the features </w:t>
      </w:r>
      <w:r w:rsidR="00A6145A" w:rsidRPr="00E47F94">
        <w:rPr>
          <w:rFonts w:cs="Times New Roman"/>
        </w:rPr>
        <w:t>and</w:t>
      </w:r>
      <w:r w:rsidR="00680984" w:rsidRPr="00E47F94">
        <w:rPr>
          <w:rFonts w:cs="Times New Roman"/>
        </w:rPr>
        <w:t xml:space="preserve"> related</w:t>
      </w:r>
      <w:r w:rsidR="00A6145A" w:rsidRPr="00E47F94">
        <w:rPr>
          <w:rFonts w:cs="Times New Roman"/>
        </w:rPr>
        <w:t xml:space="preserve"> R-ob</w:t>
      </w:r>
      <w:r w:rsidR="001D211F" w:rsidRPr="00E47F94">
        <w:rPr>
          <w:rFonts w:cs="Times New Roman"/>
        </w:rPr>
        <w:t>j</w:t>
      </w:r>
      <w:r w:rsidR="00A6145A" w:rsidRPr="00E47F94">
        <w:rPr>
          <w:rFonts w:cs="Times New Roman"/>
        </w:rPr>
        <w:t>ects are stored in public repository</w:t>
      </w:r>
      <w:r w:rsidR="00951B7B" w:rsidRPr="00E47F94">
        <w:rPr>
          <w:rFonts w:cs="Times New Roman"/>
        </w:rPr>
        <w:t xml:space="preserve"> (http://github.com/sje/EPAmeadev)</w:t>
      </w:r>
      <w:r w:rsidR="00680984" w:rsidRPr="00E47F94">
        <w:rPr>
          <w:rFonts w:cs="Times New Roman"/>
        </w:rPr>
        <w:t>.  The goal of establishing a public</w:t>
      </w:r>
      <w:r w:rsidR="00A6145A" w:rsidRPr="00E47F94">
        <w:rPr>
          <w:rFonts w:cs="Times New Roman"/>
        </w:rPr>
        <w:t xml:space="preserve"> data</w:t>
      </w:r>
      <w:r w:rsidR="00680984" w:rsidRPr="00E47F94">
        <w:rPr>
          <w:rFonts w:cs="Times New Roman"/>
        </w:rPr>
        <w:t xml:space="preserve"> set</w:t>
      </w:r>
      <w:r w:rsidR="00A6145A" w:rsidRPr="00E47F94">
        <w:rPr>
          <w:rFonts w:cs="Times New Roman"/>
        </w:rPr>
        <w:t xml:space="preserve"> is to allow full reproducibility of our analysis</w:t>
      </w:r>
      <w:r w:rsidR="00446EC9">
        <w:rPr>
          <w:rFonts w:cs="Times New Roman"/>
        </w:rPr>
        <w:t xml:space="preserve"> </w:t>
      </w:r>
      <w:commentRangeStart w:id="6"/>
      <w:r w:rsidR="00446EC9">
        <w:rPr>
          <w:rFonts w:cs="Times New Roman"/>
        </w:rPr>
        <w:t>and/or to allow novel analyses to be conducted</w:t>
      </w:r>
      <w:r w:rsidR="00A6145A" w:rsidRPr="00E47F94">
        <w:rPr>
          <w:rFonts w:cs="Times New Roman"/>
        </w:rPr>
        <w:t xml:space="preserve">. </w:t>
      </w:r>
      <w:bookmarkStart w:id="7" w:name="statisticalcomputational-details"/>
      <w:bookmarkEnd w:id="7"/>
      <w:commentRangeEnd w:id="6"/>
      <w:r w:rsidR="00446EC9">
        <w:rPr>
          <w:rStyle w:val="CommentReference"/>
        </w:rPr>
        <w:commentReference w:id="6"/>
      </w:r>
    </w:p>
    <w:p w14:paraId="6B5B7A2C" w14:textId="1598E0DD" w:rsidR="00226EDA" w:rsidRPr="00612EC5" w:rsidRDefault="00E52897" w:rsidP="00E52897">
      <w:pPr>
        <w:pStyle w:val="Heading3"/>
        <w:rPr>
          <w:rFonts w:asciiTheme="minorHAnsi" w:hAnsiTheme="minorHAnsi"/>
          <w:sz w:val="24"/>
          <w:szCs w:val="24"/>
        </w:rPr>
      </w:pPr>
      <w:r w:rsidRPr="00612EC5">
        <w:rPr>
          <w:rFonts w:asciiTheme="minorHAnsi" w:hAnsiTheme="minorHAnsi"/>
          <w:sz w:val="24"/>
          <w:szCs w:val="24"/>
        </w:rPr>
        <w:lastRenderedPageBreak/>
        <w:t>Developmental Analysis</w:t>
      </w:r>
    </w:p>
    <w:p w14:paraId="63A4C031" w14:textId="4F64E263" w:rsidR="00043208" w:rsidRPr="00612EC5" w:rsidRDefault="00043208" w:rsidP="00E229A2">
      <w:pPr>
        <w:spacing w:line="480" w:lineRule="auto"/>
        <w:contextualSpacing/>
        <w:rPr>
          <w:rFonts w:cs="Times New Roman"/>
        </w:rPr>
      </w:pPr>
      <w:r w:rsidRPr="00E06617">
        <w:t>Twelve</w:t>
      </w:r>
      <w:r w:rsidR="00680984" w:rsidRPr="00E06617">
        <w:t xml:space="preserve"> </w:t>
      </w:r>
      <w:r w:rsidR="00680984" w:rsidRPr="00612EC5">
        <w:t>f</w:t>
      </w:r>
      <w:r w:rsidR="00FE1452" w:rsidRPr="00612EC5">
        <w:t xml:space="preserve">eatures </w:t>
      </w:r>
      <w:r w:rsidR="00EB4BC3" w:rsidRPr="00612EC5">
        <w:t xml:space="preserve">were chosen to describe the culture activity, </w:t>
      </w:r>
      <w:r w:rsidR="00660F6C" w:rsidRPr="00612EC5">
        <w:t xml:space="preserve">which are </w:t>
      </w:r>
      <w:r w:rsidR="00EB4BC3" w:rsidRPr="00612EC5">
        <w:t xml:space="preserve">summarized in </w:t>
      </w:r>
      <w:r w:rsidR="00E52897" w:rsidRPr="00C1704B">
        <w:t>T</w:t>
      </w:r>
      <w:r w:rsidR="00EB4BC3" w:rsidRPr="00EF7A71">
        <w:t>able</w:t>
      </w:r>
      <w:r w:rsidR="00A633FB" w:rsidRPr="00E06617">
        <w:t xml:space="preserve"> 1</w:t>
      </w:r>
      <w:r w:rsidR="001F2B4A" w:rsidRPr="00E06617">
        <w:t>. For all features, the plate value was taken as the median of all</w:t>
      </w:r>
      <w:r w:rsidR="00BB2D85" w:rsidRPr="00E06617">
        <w:t xml:space="preserve"> non-zero </w:t>
      </w:r>
      <w:r w:rsidR="001F2B4A" w:rsidRPr="00E06617">
        <w:t>well values on the plate</w:t>
      </w:r>
      <w:r w:rsidR="00BB2D85" w:rsidRPr="00E06617">
        <w:t xml:space="preserve"> (zero values were ignored).</w:t>
      </w:r>
      <w:r w:rsidR="005C5D7C" w:rsidRPr="00E06617">
        <w:t xml:space="preserve">  </w:t>
      </w:r>
      <w:r w:rsidR="00BB2D85" w:rsidRPr="00E06617">
        <w:t xml:space="preserve"> </w:t>
      </w:r>
    </w:p>
    <w:p w14:paraId="5527019E" w14:textId="5C60D907" w:rsidR="009E5A9D" w:rsidRPr="00612EC5" w:rsidRDefault="009E5A9D" w:rsidP="00612EC5">
      <w:pPr>
        <w:pStyle w:val="Heading3"/>
        <w:tabs>
          <w:tab w:val="left" w:pos="3799"/>
        </w:tabs>
        <w:rPr>
          <w:rFonts w:asciiTheme="minorHAnsi" w:hAnsiTheme="minorHAnsi"/>
          <w:sz w:val="24"/>
          <w:szCs w:val="24"/>
        </w:rPr>
      </w:pPr>
      <w:bookmarkStart w:id="8" w:name="results"/>
      <w:bookmarkEnd w:id="8"/>
      <w:r w:rsidRPr="00612EC5">
        <w:rPr>
          <w:rFonts w:asciiTheme="minorHAnsi" w:hAnsiTheme="minorHAnsi"/>
          <w:sz w:val="24"/>
          <w:szCs w:val="24"/>
        </w:rPr>
        <w:t>PCA</w:t>
      </w:r>
      <w:r w:rsidR="00612EC5">
        <w:rPr>
          <w:rFonts w:asciiTheme="minorHAnsi" w:hAnsiTheme="minorHAnsi"/>
          <w:sz w:val="24"/>
          <w:szCs w:val="24"/>
        </w:rPr>
        <w:tab/>
      </w:r>
    </w:p>
    <w:p w14:paraId="2F0F27DD" w14:textId="525FF13D" w:rsidR="0053206D" w:rsidRPr="00E06617" w:rsidRDefault="0053206D" w:rsidP="007B3BA7">
      <w:pPr>
        <w:spacing w:line="480" w:lineRule="auto"/>
      </w:pPr>
      <w:r w:rsidRPr="00612EC5">
        <w:rPr>
          <w:rFonts w:cs="Times New Roman"/>
        </w:rPr>
        <w:t xml:space="preserve">We performed principal component analysis using the R-package </w:t>
      </w:r>
      <w:commentRangeStart w:id="9"/>
      <w:proofErr w:type="spellStart"/>
      <w:r w:rsidRPr="00612EC5">
        <w:rPr>
          <w:rFonts w:cs="Times New Roman"/>
        </w:rPr>
        <w:t>FactoMineR</w:t>
      </w:r>
      <w:commentRangeEnd w:id="9"/>
      <w:proofErr w:type="spellEnd"/>
      <w:r w:rsidR="006419B2" w:rsidRPr="00612EC5">
        <w:rPr>
          <w:rStyle w:val="CommentReference"/>
          <w:sz w:val="24"/>
          <w:szCs w:val="24"/>
        </w:rPr>
        <w:commentReference w:id="9"/>
      </w:r>
      <w:r w:rsidRPr="00612EC5">
        <w:rPr>
          <w:rFonts w:cs="Times New Roman"/>
        </w:rPr>
        <w:t xml:space="preserve"> </w:t>
      </w:r>
      <w:commentRangeStart w:id="10"/>
      <w:r w:rsidRPr="00612EC5">
        <w:rPr>
          <w:rFonts w:cs="Times New Roman"/>
        </w:rPr>
        <w:t>using</w:t>
      </w:r>
      <w:commentRangeEnd w:id="10"/>
      <w:r w:rsidR="00893B55">
        <w:rPr>
          <w:rStyle w:val="CommentReference"/>
        </w:rPr>
        <w:commentReference w:id="10"/>
      </w:r>
      <w:r w:rsidRPr="00612EC5">
        <w:rPr>
          <w:rFonts w:cs="Times New Roman"/>
        </w:rPr>
        <w:t xml:space="preserve"> all wells and all 12 fea</w:t>
      </w:r>
      <w:r w:rsidR="00AB3105" w:rsidRPr="00612EC5">
        <w:rPr>
          <w:rFonts w:cs="Times New Roman"/>
        </w:rPr>
        <w:t>tures.  Two PCA</w:t>
      </w:r>
      <w:r w:rsidR="00446EC9">
        <w:rPr>
          <w:rFonts w:cs="Times New Roman"/>
        </w:rPr>
        <w:t>s</w:t>
      </w:r>
      <w:r w:rsidR="00AB3105" w:rsidRPr="00612EC5">
        <w:rPr>
          <w:rFonts w:cs="Times New Roman"/>
        </w:rPr>
        <w:t xml:space="preserve"> were performed. The first PCA was </w:t>
      </w:r>
      <w:r w:rsidR="002073F2">
        <w:rPr>
          <w:rFonts w:cs="Times New Roman"/>
        </w:rPr>
        <w:t>conducted</w:t>
      </w:r>
      <w:r w:rsidR="00AB3105" w:rsidRPr="00612EC5">
        <w:rPr>
          <w:rFonts w:cs="Times New Roman"/>
        </w:rPr>
        <w:t xml:space="preserve"> </w:t>
      </w:r>
      <w:r w:rsidR="002073F2">
        <w:rPr>
          <w:rFonts w:cs="Times New Roman"/>
        </w:rPr>
        <w:t>using</w:t>
      </w:r>
      <w:r w:rsidR="00AB3105" w:rsidRPr="00612EC5">
        <w:rPr>
          <w:rFonts w:cs="Times New Roman"/>
        </w:rPr>
        <w:t xml:space="preserve"> data in which</w:t>
      </w:r>
      <w:r w:rsidRPr="00612EC5">
        <w:rPr>
          <w:rFonts w:cs="Times New Roman"/>
        </w:rPr>
        <w:t xml:space="preserve"> a we</w:t>
      </w:r>
      <w:r w:rsidR="00AB3105" w:rsidRPr="00612EC5">
        <w:rPr>
          <w:rFonts w:cs="Times New Roman"/>
        </w:rPr>
        <w:t xml:space="preserve">ll constituted one observation, while the second PCA was </w:t>
      </w:r>
      <w:r w:rsidR="002073F2">
        <w:rPr>
          <w:rFonts w:cs="Times New Roman"/>
        </w:rPr>
        <w:t>conducted</w:t>
      </w:r>
      <w:r w:rsidR="00AB3105" w:rsidRPr="00612EC5">
        <w:rPr>
          <w:rFonts w:cs="Times New Roman"/>
        </w:rPr>
        <w:t xml:space="preserve"> </w:t>
      </w:r>
      <w:r w:rsidR="002073F2">
        <w:rPr>
          <w:rFonts w:cs="Times New Roman"/>
        </w:rPr>
        <w:t>using</w:t>
      </w:r>
      <w:r w:rsidR="00AB3105" w:rsidRPr="00612EC5">
        <w:rPr>
          <w:rFonts w:cs="Times New Roman"/>
        </w:rPr>
        <w:t xml:space="preserve"> data in which a plate</w:t>
      </w:r>
      <w:r w:rsidRPr="00612EC5">
        <w:rPr>
          <w:rFonts w:cs="Times New Roman"/>
        </w:rPr>
        <w:t xml:space="preserve"> </w:t>
      </w:r>
      <w:r w:rsidR="00893B55">
        <w:rPr>
          <w:rFonts w:cs="Times New Roman"/>
        </w:rPr>
        <w:t xml:space="preserve">median </w:t>
      </w:r>
      <w:r w:rsidRPr="00612EC5">
        <w:rPr>
          <w:rFonts w:cs="Times New Roman"/>
        </w:rPr>
        <w:t>constituted an observation. For each PCA, the 12 dimensional feature vector was projected down onto the plane created by the first two principal component dimensions.  The purpose of the projection was to visually assess the level of differ</w:t>
      </w:r>
      <w:r w:rsidR="00AB3105" w:rsidRPr="00612EC5">
        <w:rPr>
          <w:rFonts w:cs="Times New Roman"/>
        </w:rPr>
        <w:t>entiation among the 4 ages.  A</w:t>
      </w:r>
      <w:r w:rsidRPr="00612EC5">
        <w:rPr>
          <w:rFonts w:cs="Times New Roman"/>
        </w:rPr>
        <w:t xml:space="preserve"> scree plot was made to describe the cumulative percent of variation explain</w:t>
      </w:r>
      <w:r w:rsidR="006F5C7C" w:rsidRPr="00612EC5">
        <w:rPr>
          <w:rFonts w:cs="Times New Roman"/>
        </w:rPr>
        <w:t xml:space="preserve">ed by </w:t>
      </w:r>
      <w:r w:rsidR="00AB3105" w:rsidRPr="00612EC5">
        <w:rPr>
          <w:rFonts w:cs="Times New Roman"/>
        </w:rPr>
        <w:t>the use of</w:t>
      </w:r>
      <w:r w:rsidR="006F5C7C" w:rsidRPr="00612EC5">
        <w:rPr>
          <w:rFonts w:cs="Times New Roman"/>
        </w:rPr>
        <w:t xml:space="preserve"> additional prin</w:t>
      </w:r>
      <w:r w:rsidRPr="00612EC5">
        <w:rPr>
          <w:rFonts w:cs="Times New Roman"/>
        </w:rPr>
        <w:t xml:space="preserve">cipal components </w:t>
      </w:r>
      <w:r w:rsidR="00AB3105" w:rsidRPr="00612EC5">
        <w:rPr>
          <w:rFonts w:cs="Times New Roman"/>
        </w:rPr>
        <w:t>to describe the</w:t>
      </w:r>
      <w:r w:rsidRPr="00612EC5">
        <w:rPr>
          <w:rFonts w:cs="Times New Roman"/>
        </w:rPr>
        <w:t xml:space="preserve"> data.  The scree plots </w:t>
      </w:r>
      <w:r w:rsidR="00AB3105" w:rsidRPr="00612EC5">
        <w:rPr>
          <w:rFonts w:cs="Times New Roman"/>
        </w:rPr>
        <w:t>aid in quantifying</w:t>
      </w:r>
      <w:r w:rsidRPr="00612EC5">
        <w:rPr>
          <w:rFonts w:cs="Times New Roman"/>
        </w:rPr>
        <w:t xml:space="preserve"> </w:t>
      </w:r>
      <w:r w:rsidR="00AB3105" w:rsidRPr="00612EC5">
        <w:rPr>
          <w:rFonts w:cs="Times New Roman"/>
        </w:rPr>
        <w:t>the extent to which data may be well represented with fewer</w:t>
      </w:r>
      <w:r w:rsidR="006F5C7C" w:rsidRPr="00612EC5">
        <w:rPr>
          <w:rFonts w:cs="Times New Roman"/>
        </w:rPr>
        <w:t xml:space="preserve"> </w:t>
      </w:r>
      <w:r w:rsidR="00AB3105" w:rsidRPr="00612EC5">
        <w:rPr>
          <w:rFonts w:cs="Times New Roman"/>
        </w:rPr>
        <w:t>dime</w:t>
      </w:r>
      <w:r w:rsidR="00AE2968" w:rsidRPr="00612EC5">
        <w:rPr>
          <w:rFonts w:cs="Times New Roman"/>
        </w:rPr>
        <w:t>nsions.</w:t>
      </w:r>
      <w:r w:rsidRPr="00612EC5">
        <w:rPr>
          <w:rFonts w:cs="Times New Roman"/>
        </w:rPr>
        <w:t xml:space="preserve"> </w:t>
      </w:r>
    </w:p>
    <w:p w14:paraId="32FBA50A" w14:textId="7D563133" w:rsidR="00E52897" w:rsidRPr="00612EC5" w:rsidRDefault="00E52897" w:rsidP="00E52897">
      <w:pPr>
        <w:pStyle w:val="Heading3"/>
        <w:rPr>
          <w:rFonts w:asciiTheme="minorHAnsi" w:hAnsiTheme="minorHAnsi"/>
          <w:sz w:val="24"/>
          <w:szCs w:val="24"/>
        </w:rPr>
      </w:pPr>
      <w:r w:rsidRPr="00612EC5">
        <w:rPr>
          <w:rFonts w:asciiTheme="minorHAnsi" w:hAnsiTheme="minorHAnsi"/>
          <w:sz w:val="24"/>
          <w:szCs w:val="24"/>
        </w:rPr>
        <w:t>Classification</w:t>
      </w:r>
    </w:p>
    <w:p w14:paraId="72DB8D30" w14:textId="4AB420BC" w:rsidR="00013B13" w:rsidRPr="00E06617" w:rsidRDefault="00EB7E6F" w:rsidP="007B3BA7">
      <w:pPr>
        <w:spacing w:line="480" w:lineRule="auto"/>
      </w:pPr>
      <w:r w:rsidRPr="00E06617">
        <w:t>Two classification techniques, random forests and Support Vector Machines (SVMs), were used to predict the age of each well</w:t>
      </w:r>
      <w:r w:rsidR="002F31BA" w:rsidRPr="00612EC5">
        <w:t xml:space="preserve"> based on the twelve features used in our analysis</w:t>
      </w:r>
      <w:r w:rsidRPr="00612EC5">
        <w:t xml:space="preserve">. </w:t>
      </w:r>
      <w:r w:rsidR="00526678" w:rsidRPr="00612EC5">
        <w:t>In some cases, due to</w:t>
      </w:r>
      <w:r w:rsidR="00C87290" w:rsidRPr="00C1704B">
        <w:t xml:space="preserve"> the low number of electrodes o</w:t>
      </w:r>
      <w:r w:rsidR="00013B13" w:rsidRPr="00C1704B">
        <w:t>n a well</w:t>
      </w:r>
      <w:r w:rsidR="00526678" w:rsidRPr="00EF7A71">
        <w:t>,</w:t>
      </w:r>
      <w:r w:rsidR="00526678" w:rsidRPr="00E06617">
        <w:t xml:space="preserve"> lack of bursting or lack of network spike </w:t>
      </w:r>
      <w:r w:rsidR="002073F2">
        <w:t>activity</w:t>
      </w:r>
      <w:r w:rsidR="00013B13" w:rsidRPr="00E06617">
        <w:t xml:space="preserve">, </w:t>
      </w:r>
      <w:r w:rsidR="002C50B7" w:rsidRPr="00E06617">
        <w:t xml:space="preserve">some </w:t>
      </w:r>
      <w:r w:rsidR="008F5817" w:rsidRPr="00E06617">
        <w:t>feature values</w:t>
      </w:r>
      <w:r w:rsidR="00013B13" w:rsidRPr="00E06617">
        <w:t xml:space="preserve"> </w:t>
      </w:r>
      <w:r w:rsidR="00B77F7E" w:rsidRPr="00E06617">
        <w:t>were missing</w:t>
      </w:r>
      <w:r w:rsidR="00526678" w:rsidRPr="00E06617">
        <w:t xml:space="preserve">; this was </w:t>
      </w:r>
      <w:r w:rsidR="002C50B7" w:rsidRPr="00E06617">
        <w:t xml:space="preserve">particularly </w:t>
      </w:r>
      <w:r w:rsidR="00526678" w:rsidRPr="00E06617">
        <w:t xml:space="preserve">evident </w:t>
      </w:r>
      <w:r w:rsidR="002C50B7" w:rsidRPr="00E06617">
        <w:t xml:space="preserve">at early </w:t>
      </w:r>
      <w:r w:rsidR="00526678" w:rsidRPr="00E06617">
        <w:t>DIV</w:t>
      </w:r>
      <w:r w:rsidR="00013B13" w:rsidRPr="00E06617">
        <w:t>. For classification purposes, for those wells with no bursts, the within burst firing rate and burst duration were set to zero. Similarly, the network spike peak and duration were set to zero for all wells that exhibited no network s</w:t>
      </w:r>
      <w:r w:rsidR="00B77F7E" w:rsidRPr="00E06617">
        <w:t>pikes over the recording period</w:t>
      </w:r>
      <w:r w:rsidR="00013B13" w:rsidRPr="00E06617">
        <w:t xml:space="preserve">. </w:t>
      </w:r>
      <w:r w:rsidR="00013B13" w:rsidRPr="00E06617">
        <w:lastRenderedPageBreak/>
        <w:t>Any wells that had null val</w:t>
      </w:r>
      <w:r w:rsidR="001139C5" w:rsidRPr="00E06617">
        <w:t xml:space="preserve">ues for the remaining features, namely </w:t>
      </w:r>
      <w:r w:rsidR="00013B13" w:rsidRPr="00E06617">
        <w:t>correlation, CV of IBI and CV of with</w:t>
      </w:r>
      <w:r w:rsidR="002F31BA" w:rsidRPr="00E06617">
        <w:t>in</w:t>
      </w:r>
      <w:r w:rsidR="00013B13" w:rsidRPr="00E06617">
        <w:t xml:space="preserve"> burst ISI</w:t>
      </w:r>
      <w:r w:rsidR="001139C5" w:rsidRPr="00E06617">
        <w:t>,</w:t>
      </w:r>
      <w:r w:rsidR="00013B13" w:rsidRPr="00E06617">
        <w:t xml:space="preserve"> were excluded from the classification.  This resulted in 370</w:t>
      </w:r>
      <w:r w:rsidR="00446EC9">
        <w:t>/2976</w:t>
      </w:r>
      <w:r w:rsidR="00013B13" w:rsidRPr="00E06617">
        <w:t xml:space="preserve"> well</w:t>
      </w:r>
      <w:r w:rsidR="00446EC9">
        <w:t xml:space="preserve"> recording</w:t>
      </w:r>
      <w:r w:rsidR="00013B13" w:rsidRPr="00E06617">
        <w:t>s, or approximately 12.4% of the total wells, being excluded from the classification.</w:t>
      </w:r>
    </w:p>
    <w:p w14:paraId="58D86DA8" w14:textId="37A22E10" w:rsidR="00013B13" w:rsidRPr="00E06617" w:rsidRDefault="00013B13" w:rsidP="007B3BA7">
      <w:pPr>
        <w:spacing w:line="480" w:lineRule="auto"/>
      </w:pPr>
      <w:r w:rsidRPr="00E06617">
        <w:t>Initial</w:t>
      </w:r>
      <w:r w:rsidR="002F31BA" w:rsidRPr="00E06617">
        <w:t>ly,</w:t>
      </w:r>
      <w:r w:rsidRPr="00E06617">
        <w:t xml:space="preserve"> classification was performed on the</w:t>
      </w:r>
      <w:r w:rsidR="001139C5" w:rsidRPr="00E06617">
        <w:t xml:space="preserve"> </w:t>
      </w:r>
      <w:r w:rsidR="002F31BA" w:rsidRPr="00E06617">
        <w:t xml:space="preserve">remaining </w:t>
      </w:r>
      <w:r w:rsidRPr="00E06617">
        <w:t xml:space="preserve">data using a random forest model and all twelve features. </w:t>
      </w:r>
      <w:r w:rsidR="00FE0764" w:rsidRPr="00E06617">
        <w:t>The relative importance of each of the features was determined based on the amount they reduce</w:t>
      </w:r>
      <w:r w:rsidR="001139C5" w:rsidRPr="00E06617">
        <w:t>d</w:t>
      </w:r>
      <w:r w:rsidR="00FE0764" w:rsidRPr="00E06617">
        <w:t xml:space="preserve"> the </w:t>
      </w:r>
      <w:proofErr w:type="spellStart"/>
      <w:r w:rsidR="00FE0764" w:rsidRPr="00E06617">
        <w:t>Gini</w:t>
      </w:r>
      <w:proofErr w:type="spellEnd"/>
      <w:r w:rsidR="00FE0764" w:rsidRPr="00E06617">
        <w:t xml:space="preserve"> index. </w:t>
      </w:r>
      <w:r w:rsidR="00F626CE">
        <w:t>Next</w:t>
      </w:r>
      <w:r w:rsidR="002F31BA" w:rsidRPr="00E06617">
        <w:t>, S</w:t>
      </w:r>
      <w:r w:rsidR="001139C5" w:rsidRPr="00E06617">
        <w:t xml:space="preserve">upport Vector Machines with a </w:t>
      </w:r>
      <w:r w:rsidR="00843CB8" w:rsidRPr="00E06617">
        <w:t>radial</w:t>
      </w:r>
      <w:r w:rsidR="001139C5" w:rsidRPr="00E06617">
        <w:t xml:space="preserve"> kernel</w:t>
      </w:r>
      <w:r w:rsidR="00843CB8" w:rsidRPr="00E06617">
        <w:t xml:space="preserve"> and gamma</w:t>
      </w:r>
      <w:r w:rsidR="003F2F3C" w:rsidRPr="00E06617">
        <w:t xml:space="preserve"> value</w:t>
      </w:r>
      <w:r w:rsidR="00843CB8" w:rsidRPr="00E06617">
        <w:t xml:space="preserve"> of 1/12</w:t>
      </w:r>
      <w:r w:rsidR="00210FBC" w:rsidRPr="00E06617">
        <w:t xml:space="preserve"> were used to </w:t>
      </w:r>
      <w:r w:rsidR="008F5817" w:rsidRPr="00E06617">
        <w:t xml:space="preserve">examine the </w:t>
      </w:r>
      <w:r w:rsidR="003F2F3C" w:rsidRPr="00E06617">
        <w:t xml:space="preserve">classification accuracy obtained by using </w:t>
      </w:r>
      <w:r w:rsidR="008F5817" w:rsidRPr="00E06617">
        <w:t>various subsets of the total twelve features.</w:t>
      </w:r>
    </w:p>
    <w:p w14:paraId="0C2658FA" w14:textId="1AA7A657" w:rsidR="00BF0885" w:rsidRPr="00E06617" w:rsidRDefault="001139C5" w:rsidP="007B3BA7">
      <w:pPr>
        <w:spacing w:line="480" w:lineRule="auto"/>
      </w:pPr>
      <w:r w:rsidRPr="00E06617">
        <w:t>In both types of classification, t</w:t>
      </w:r>
      <w:r w:rsidR="00013B13" w:rsidRPr="00E06617">
        <w:t>wo thirds of the data were used as a t</w:t>
      </w:r>
      <w:r w:rsidR="00FE0764" w:rsidRPr="00E06617">
        <w:t xml:space="preserve">raining set and the remaining third used to test the classification accuracy of the model.  </w:t>
      </w:r>
      <w:r w:rsidRPr="00E06617">
        <w:t>The classification was repeated one hundred times using random choices of the training and test sets in each iteration, and the classificati</w:t>
      </w:r>
      <w:r w:rsidR="002F31BA" w:rsidRPr="00E06617">
        <w:t>on accuracy averaged over the</w:t>
      </w:r>
      <w:r w:rsidRPr="00E06617">
        <w:t xml:space="preserve"> one hundred repetitions.</w:t>
      </w:r>
    </w:p>
    <w:p w14:paraId="2AD79ED8" w14:textId="3ECDB38A" w:rsidR="00F4707A" w:rsidRPr="00612EC5" w:rsidRDefault="00C24E91">
      <w:pPr>
        <w:pStyle w:val="Heading2"/>
        <w:rPr>
          <w:rFonts w:asciiTheme="minorHAnsi" w:hAnsiTheme="minorHAnsi"/>
          <w:sz w:val="24"/>
          <w:szCs w:val="24"/>
        </w:rPr>
      </w:pPr>
      <w:r w:rsidRPr="00612EC5">
        <w:rPr>
          <w:rFonts w:asciiTheme="minorHAnsi" w:hAnsiTheme="minorHAnsi"/>
          <w:sz w:val="24"/>
          <w:szCs w:val="24"/>
        </w:rPr>
        <w:t>Results</w:t>
      </w:r>
    </w:p>
    <w:p w14:paraId="71DF1A33" w14:textId="04F965B8" w:rsidR="00181AE5" w:rsidRPr="00612EC5" w:rsidRDefault="00181AE5" w:rsidP="00181AE5">
      <w:pPr>
        <w:rPr>
          <w:b/>
        </w:rPr>
      </w:pPr>
      <w:r w:rsidRPr="00E06617">
        <w:rPr>
          <w:b/>
        </w:rPr>
        <w:t>Developmental Profile</w:t>
      </w:r>
    </w:p>
    <w:p w14:paraId="5C553427" w14:textId="39452CC7" w:rsidR="00552CA1" w:rsidRPr="00C1704B" w:rsidRDefault="002073F2" w:rsidP="007B3BA7">
      <w:pPr>
        <w:spacing w:line="480" w:lineRule="auto"/>
      </w:pPr>
      <w:r>
        <w:t>On D</w:t>
      </w:r>
      <w:r w:rsidR="00F05C9C">
        <w:t xml:space="preserve">IV 2, only rare, individual spikes were recorded (data not shown). </w:t>
      </w:r>
      <w:r w:rsidR="00552CA1" w:rsidRPr="00C1704B">
        <w:t xml:space="preserve">Spontaneous activity in the </w:t>
      </w:r>
      <w:r w:rsidR="00F05C9C">
        <w:t>neural networks</w:t>
      </w:r>
      <w:r w:rsidR="00552CA1" w:rsidRPr="00C1704B">
        <w:t xml:space="preserve"> arose and could be reliably recorded </w:t>
      </w:r>
      <w:r w:rsidR="00F626CE">
        <w:t>beginning on</w:t>
      </w:r>
      <w:r w:rsidR="00F626CE" w:rsidRPr="00C1704B">
        <w:t xml:space="preserve"> </w:t>
      </w:r>
      <w:r w:rsidR="001D7E83" w:rsidRPr="00EF7A71">
        <w:t xml:space="preserve">DIV </w:t>
      </w:r>
      <w:r w:rsidR="00552CA1" w:rsidRPr="00E06617">
        <w:t>5 (</w:t>
      </w:r>
      <w:r w:rsidR="00AD33AF" w:rsidRPr="00E06617">
        <w:t>Figure 1</w:t>
      </w:r>
      <w:r w:rsidR="00552CA1" w:rsidRPr="00E06617">
        <w:t xml:space="preserve">). </w:t>
      </w:r>
      <w:r w:rsidR="00B41562" w:rsidRPr="00E06617">
        <w:t xml:space="preserve"> </w:t>
      </w:r>
      <w:r w:rsidR="00F626CE">
        <w:t>Activity as assessed by most of the parameters used here increased with DIV.</w:t>
      </w:r>
      <w:r w:rsidR="00B41562" w:rsidRPr="00E06617">
        <w:t xml:space="preserve"> </w:t>
      </w:r>
      <w:r w:rsidR="00F626CE">
        <w:t>I</w:t>
      </w:r>
      <w:r w:rsidR="00B41562" w:rsidRPr="00E06617">
        <w:t>n particular</w:t>
      </w:r>
      <w:r w:rsidR="00F626CE">
        <w:t>,</w:t>
      </w:r>
      <w:r w:rsidR="00B41562" w:rsidRPr="00E06617">
        <w:t xml:space="preserve"> </w:t>
      </w:r>
      <w:r w:rsidR="00052179">
        <w:t xml:space="preserve">not only did spiking increase with time, but the organization of spiking into bursts and </w:t>
      </w:r>
      <w:r w:rsidR="00B41562" w:rsidRPr="00E06617">
        <w:t xml:space="preserve">correlated </w:t>
      </w:r>
      <w:r w:rsidR="00052179">
        <w:t>activity</w:t>
      </w:r>
      <w:r w:rsidR="00052179" w:rsidRPr="00E06617">
        <w:t xml:space="preserve"> </w:t>
      </w:r>
      <w:r w:rsidR="00B41562" w:rsidRPr="00E06617">
        <w:t>across the network</w:t>
      </w:r>
      <w:r w:rsidR="002C50B7" w:rsidRPr="00E06617">
        <w:t xml:space="preserve"> (Figure 1)</w:t>
      </w:r>
      <w:r w:rsidR="00052179">
        <w:t xml:space="preserve"> also increased with DIV</w:t>
      </w:r>
      <w:r w:rsidR="00B41562" w:rsidRPr="00E06617">
        <w:t xml:space="preserve">. Quantification of the changes in </w:t>
      </w:r>
      <w:r w:rsidR="00052179">
        <w:t>activity</w:t>
      </w:r>
      <w:r w:rsidR="00052179" w:rsidRPr="00E06617">
        <w:t xml:space="preserve"> </w:t>
      </w:r>
      <w:r w:rsidR="00B41562" w:rsidRPr="00E06617">
        <w:t xml:space="preserve">over development was achieved using a selection </w:t>
      </w:r>
      <w:r w:rsidR="00C8530A" w:rsidRPr="00E06617">
        <w:lastRenderedPageBreak/>
        <w:t>of twelve</w:t>
      </w:r>
      <w:r w:rsidR="00C8530A" w:rsidRPr="00612EC5">
        <w:rPr>
          <w:rStyle w:val="CommentReference"/>
          <w:sz w:val="24"/>
          <w:szCs w:val="24"/>
        </w:rPr>
        <w:t xml:space="preserve"> </w:t>
      </w:r>
      <w:r w:rsidR="00C8530A" w:rsidRPr="00E06617">
        <w:t>me</w:t>
      </w:r>
      <w:r w:rsidR="00B41562" w:rsidRPr="00E06617">
        <w:t xml:space="preserve">asures, </w:t>
      </w:r>
      <w:r w:rsidR="003C73CF" w:rsidRPr="00612EC5">
        <w:t xml:space="preserve">which were </w:t>
      </w:r>
      <w:r w:rsidR="00B41562" w:rsidRPr="00612EC5">
        <w:t>used to describe</w:t>
      </w:r>
      <w:r w:rsidR="00052179">
        <w:t xml:space="preserve"> activity at the level of</w:t>
      </w:r>
      <w:r w:rsidR="00B41562" w:rsidRPr="00612EC5">
        <w:t xml:space="preserve"> both </w:t>
      </w:r>
      <w:r w:rsidR="00052179">
        <w:t xml:space="preserve">the </w:t>
      </w:r>
      <w:r w:rsidR="00B41562" w:rsidRPr="00612EC5">
        <w:t xml:space="preserve">well and </w:t>
      </w:r>
      <w:commentRangeStart w:id="11"/>
      <w:r w:rsidR="00B41562" w:rsidRPr="00612EC5">
        <w:t xml:space="preserve">single </w:t>
      </w:r>
      <w:commentRangeStart w:id="12"/>
      <w:r w:rsidR="00B41562" w:rsidRPr="00612EC5">
        <w:t>electrode</w:t>
      </w:r>
      <w:commentRangeEnd w:id="11"/>
      <w:r w:rsidR="00052179">
        <w:rPr>
          <w:rStyle w:val="CommentReference"/>
        </w:rPr>
        <w:commentReference w:id="11"/>
      </w:r>
      <w:commentRangeEnd w:id="12"/>
      <w:r w:rsidR="0066684F">
        <w:rPr>
          <w:rStyle w:val="CommentReference"/>
        </w:rPr>
        <w:commentReference w:id="12"/>
      </w:r>
      <w:r w:rsidR="00B41562" w:rsidRPr="00612EC5">
        <w:t xml:space="preserve">. </w:t>
      </w:r>
    </w:p>
    <w:p w14:paraId="4BBE9C86" w14:textId="6DBB5F90" w:rsidR="00552CA1" w:rsidRPr="00E06617" w:rsidRDefault="00F05C9C" w:rsidP="007B3BA7">
      <w:pPr>
        <w:spacing w:line="480" w:lineRule="auto"/>
        <w:rPr>
          <w:i/>
        </w:rPr>
      </w:pPr>
      <w:r>
        <w:rPr>
          <w:i/>
        </w:rPr>
        <w:t xml:space="preserve">Spontaneous </w:t>
      </w:r>
      <w:r w:rsidR="00B41562" w:rsidRPr="00EF7A71">
        <w:rPr>
          <w:i/>
        </w:rPr>
        <w:t>Firing rate</w:t>
      </w:r>
    </w:p>
    <w:p w14:paraId="699C20F1" w14:textId="2E80666C" w:rsidR="00451561" w:rsidRPr="00E06617" w:rsidRDefault="00451561" w:rsidP="007B3BA7">
      <w:pPr>
        <w:spacing w:line="480" w:lineRule="auto"/>
      </w:pPr>
      <w:r w:rsidRPr="00E06617">
        <w:t>In general, activity increased over development, with the median firing rate</w:t>
      </w:r>
      <w:r w:rsidR="001F2B4A" w:rsidRPr="00E06617">
        <w:t xml:space="preserve"> and within-burst firing rates both</w:t>
      </w:r>
      <w:r w:rsidRPr="00E06617">
        <w:t xml:space="preserve"> monotonically rising with increasing DIV (</w:t>
      </w:r>
      <w:r w:rsidR="00AD33AF" w:rsidRPr="00E06617">
        <w:t>Figure 2</w:t>
      </w:r>
      <w:r w:rsidRPr="00E06617">
        <w:t xml:space="preserve">). </w:t>
      </w:r>
    </w:p>
    <w:p w14:paraId="274F4D7D" w14:textId="37B9CB5C" w:rsidR="00451561" w:rsidRPr="00E06617" w:rsidRDefault="00451561" w:rsidP="007B3BA7">
      <w:pPr>
        <w:spacing w:line="480" w:lineRule="auto"/>
        <w:rPr>
          <w:i/>
        </w:rPr>
      </w:pPr>
      <w:r w:rsidRPr="00E06617">
        <w:rPr>
          <w:i/>
        </w:rPr>
        <w:t xml:space="preserve">Bursting </w:t>
      </w:r>
      <w:r w:rsidR="00F05C9C">
        <w:rPr>
          <w:i/>
        </w:rPr>
        <w:t>activity</w:t>
      </w:r>
    </w:p>
    <w:p w14:paraId="16FD0D71" w14:textId="0B78C453" w:rsidR="00181AE5" w:rsidRPr="00E06617" w:rsidRDefault="00451561" w:rsidP="007B3BA7">
      <w:pPr>
        <w:spacing w:line="480" w:lineRule="auto"/>
      </w:pPr>
      <w:r w:rsidRPr="00E06617">
        <w:t xml:space="preserve">A </w:t>
      </w:r>
      <w:r w:rsidR="008B69CF">
        <w:t>clear</w:t>
      </w:r>
      <w:r w:rsidRPr="00E06617">
        <w:t xml:space="preserve"> </w:t>
      </w:r>
      <w:r w:rsidR="00181AE5" w:rsidRPr="00E06617">
        <w:t>increas</w:t>
      </w:r>
      <w:r w:rsidR="008B69CF">
        <w:t>e in</w:t>
      </w:r>
      <w:r w:rsidR="00181AE5" w:rsidRPr="00E06617">
        <w:t xml:space="preserve"> bursting </w:t>
      </w:r>
      <w:r w:rsidR="006F3F24">
        <w:t>activity</w:t>
      </w:r>
      <w:r w:rsidR="006F3F24" w:rsidRPr="00E06617">
        <w:t xml:space="preserve"> </w:t>
      </w:r>
      <w:r w:rsidR="00181AE5" w:rsidRPr="00E06617">
        <w:t>with increasing culture age</w:t>
      </w:r>
      <w:r w:rsidRPr="00E06617">
        <w:t xml:space="preserve"> was also observed</w:t>
      </w:r>
      <w:r w:rsidR="003C73CF" w:rsidRPr="00E06617">
        <w:t xml:space="preserve">. The </w:t>
      </w:r>
      <w:r w:rsidR="00052179">
        <w:t>fraction</w:t>
      </w:r>
      <w:r w:rsidR="00052179" w:rsidRPr="00E06617">
        <w:t xml:space="preserve"> </w:t>
      </w:r>
      <w:r w:rsidR="003C73CF" w:rsidRPr="00E06617">
        <w:t xml:space="preserve">of </w:t>
      </w:r>
      <w:r w:rsidR="00052179" w:rsidRPr="00E06617">
        <w:t xml:space="preserve">bursting </w:t>
      </w:r>
      <w:r w:rsidR="003C73CF" w:rsidRPr="00E06617">
        <w:t xml:space="preserve">electrodes, </w:t>
      </w:r>
      <w:r w:rsidR="00052179">
        <w:t>burst rate</w:t>
      </w:r>
      <w:r w:rsidR="003C73CF" w:rsidRPr="00E06617">
        <w:t xml:space="preserve"> and percentage of spikes occurring within bursts all increase</w:t>
      </w:r>
      <w:r w:rsidR="00052179">
        <w:t>d</w:t>
      </w:r>
      <w:r w:rsidR="003C73CF" w:rsidRPr="00E06617">
        <w:t xml:space="preserve"> over development</w:t>
      </w:r>
      <w:r w:rsidR="0052443B" w:rsidRPr="00E06617">
        <w:t xml:space="preserve"> (</w:t>
      </w:r>
      <w:r w:rsidR="008F5817" w:rsidRPr="00E06617">
        <w:t>Figure 3</w:t>
      </w:r>
      <w:r w:rsidR="0052443B" w:rsidRPr="00E06617">
        <w:t xml:space="preserve">). </w:t>
      </w:r>
      <w:r w:rsidR="00A633FB" w:rsidRPr="00E06617">
        <w:t xml:space="preserve">The </w:t>
      </w:r>
      <w:r w:rsidR="00C8530A" w:rsidRPr="00E06617">
        <w:t>CV</w:t>
      </w:r>
      <w:r w:rsidR="00A633FB" w:rsidRPr="00E06617">
        <w:t xml:space="preserve"> of</w:t>
      </w:r>
      <w:r w:rsidR="00181AE5" w:rsidRPr="00E06617">
        <w:t xml:space="preserve"> inter-burst intervals</w:t>
      </w:r>
      <w:r w:rsidR="003C73CF" w:rsidRPr="00E06617">
        <w:t xml:space="preserve"> (IBIs)</w:t>
      </w:r>
      <w:r w:rsidR="00181AE5" w:rsidRPr="00E06617">
        <w:t xml:space="preserve"> and within burst </w:t>
      </w:r>
      <w:r w:rsidR="00AD33AF" w:rsidRPr="00E06617">
        <w:t>inter-</w:t>
      </w:r>
      <w:r w:rsidR="003C73CF" w:rsidRPr="00E06617">
        <w:t xml:space="preserve">spike </w:t>
      </w:r>
      <w:r w:rsidR="00181AE5" w:rsidRPr="00E06617">
        <w:t>intervals</w:t>
      </w:r>
      <w:r w:rsidR="003C73CF" w:rsidRPr="00E06617">
        <w:t xml:space="preserve"> (ISIs)</w:t>
      </w:r>
      <w:r w:rsidR="00181AE5" w:rsidRPr="00E06617">
        <w:t xml:space="preserve"> </w:t>
      </w:r>
      <w:r w:rsidR="008F5817" w:rsidRPr="00E06617">
        <w:t>also increased</w:t>
      </w:r>
      <w:r w:rsidR="0052443B" w:rsidRPr="00E06617">
        <w:t xml:space="preserve"> wit</w:t>
      </w:r>
      <w:r w:rsidR="003C73CF" w:rsidRPr="00E06617">
        <w:t>h development, indicat</w:t>
      </w:r>
      <w:r w:rsidR="00C8530A" w:rsidRPr="00E06617">
        <w:t>ing</w:t>
      </w:r>
      <w:r w:rsidR="003C73CF" w:rsidRPr="00E06617">
        <w:t xml:space="preserve"> </w:t>
      </w:r>
      <w:r w:rsidR="00A633FB" w:rsidRPr="00E06617">
        <w:t>a decrease in the regularity of these features</w:t>
      </w:r>
      <w:r w:rsidR="003C73CF" w:rsidRPr="00E06617">
        <w:t xml:space="preserve"> (</w:t>
      </w:r>
      <w:r w:rsidR="008F5817" w:rsidRPr="00E06617">
        <w:t>Figure 3).</w:t>
      </w:r>
    </w:p>
    <w:p w14:paraId="53DB3E3D" w14:textId="4C7886F6" w:rsidR="0052443B" w:rsidRPr="00E06617" w:rsidRDefault="0052443B" w:rsidP="007B3BA7">
      <w:pPr>
        <w:spacing w:line="480" w:lineRule="auto"/>
        <w:rPr>
          <w:i/>
        </w:rPr>
      </w:pPr>
      <w:r w:rsidRPr="00E06617">
        <w:rPr>
          <w:i/>
        </w:rPr>
        <w:t>Synchronous</w:t>
      </w:r>
      <w:r w:rsidR="006F3F24">
        <w:rPr>
          <w:i/>
        </w:rPr>
        <w:t xml:space="preserve"> activity</w:t>
      </w:r>
    </w:p>
    <w:p w14:paraId="7AA88587" w14:textId="1776F0B6" w:rsidR="0052443B" w:rsidRPr="00E47F94" w:rsidRDefault="0052443B" w:rsidP="007B3BA7">
      <w:pPr>
        <w:spacing w:line="480" w:lineRule="auto"/>
      </w:pPr>
      <w:r w:rsidRPr="00E06617">
        <w:t xml:space="preserve">The synchrony of activity within each individual well on </w:t>
      </w:r>
      <w:r w:rsidR="00C87290" w:rsidRPr="00E06617">
        <w:t xml:space="preserve">a plate </w:t>
      </w:r>
      <w:r w:rsidR="003C73CF" w:rsidRPr="00E06617">
        <w:t xml:space="preserve">was examined using a feature called </w:t>
      </w:r>
      <w:r w:rsidR="00AD33AF" w:rsidRPr="00E47F94">
        <w:t>network spikes. Network spikes</w:t>
      </w:r>
      <w:r w:rsidRPr="00E47F94">
        <w:t xml:space="preserve"> were defined as short time intervals in which the number of active</w:t>
      </w:r>
      <w:r w:rsidR="003C73CF" w:rsidRPr="00E47F94">
        <w:t xml:space="preserve"> electrodes on the well exceeded </w:t>
      </w:r>
      <w:r w:rsidR="00212A4B" w:rsidRPr="00E47F94">
        <w:t xml:space="preserve">a threshold value, and their frequency, duration and peak </w:t>
      </w:r>
      <w:proofErr w:type="gramStart"/>
      <w:r w:rsidR="00212A4B" w:rsidRPr="00E47F94">
        <w:t>number of active electrodes were</w:t>
      </w:r>
      <w:proofErr w:type="gramEnd"/>
      <w:r w:rsidR="00212A4B" w:rsidRPr="00E47F94">
        <w:t xml:space="preserve"> quantified for each </w:t>
      </w:r>
      <w:r w:rsidR="00C87290" w:rsidRPr="00E47F94">
        <w:t>plate</w:t>
      </w:r>
      <w:r w:rsidR="00212A4B" w:rsidRPr="00E47F94">
        <w:t xml:space="preserve"> </w:t>
      </w:r>
      <w:r w:rsidR="00212A4B" w:rsidRPr="00E47F94">
        <w:rPr>
          <w:rFonts w:cs="Times New Roman"/>
        </w:rPr>
        <w:t>(</w:t>
      </w:r>
      <w:r w:rsidR="008F5817" w:rsidRPr="00E47F94">
        <w:rPr>
          <w:rFonts w:cs="Times New Roman"/>
        </w:rPr>
        <w:t xml:space="preserve">Figure 4). </w:t>
      </w:r>
      <w:r w:rsidRPr="00E47F94">
        <w:t>The frequency of network spikes increase</w:t>
      </w:r>
      <w:r w:rsidR="008B69CF">
        <w:t>d</w:t>
      </w:r>
      <w:r w:rsidRPr="00E47F94">
        <w:t xml:space="preserve"> with increas</w:t>
      </w:r>
      <w:r w:rsidR="00EE01EB" w:rsidRPr="00E47F94">
        <w:t>ing developmental age.</w:t>
      </w:r>
      <w:r w:rsidRPr="00E47F94">
        <w:t xml:space="preserve"> </w:t>
      </w:r>
      <w:r w:rsidR="00EE01EB" w:rsidRPr="00E47F94">
        <w:t>To a lesser extent, an increase in the maximum number of electrodes active during a network spike (out of a possible 16) was al</w:t>
      </w:r>
      <w:r w:rsidR="001E0489" w:rsidRPr="00E47F94">
        <w:t>so observed across development</w:t>
      </w:r>
      <w:r w:rsidR="00A04995" w:rsidRPr="00E47F94">
        <w:t>.</w:t>
      </w:r>
      <w:r w:rsidR="001E0489" w:rsidRPr="00E47F94">
        <w:t xml:space="preserve"> </w:t>
      </w:r>
    </w:p>
    <w:p w14:paraId="29EC9ABF" w14:textId="353CA65B" w:rsidR="00EE01EB" w:rsidRPr="00E47F94" w:rsidRDefault="00EE01EB" w:rsidP="007B3BA7">
      <w:pPr>
        <w:spacing w:line="480" w:lineRule="auto"/>
      </w:pPr>
      <w:r w:rsidRPr="00E47F94">
        <w:t xml:space="preserve">As another measure of network synchrony, we </w:t>
      </w:r>
      <w:r w:rsidR="00C87290" w:rsidRPr="00E47F94">
        <w:t>calculated the mean of all pair</w:t>
      </w:r>
      <w:r w:rsidRPr="00E47F94">
        <w:t>wise correlation coefficients</w:t>
      </w:r>
      <w:r w:rsidR="003C73CF" w:rsidRPr="00E47F94">
        <w:t xml:space="preserve"> </w:t>
      </w:r>
      <w:r w:rsidR="00212A4B" w:rsidRPr="00E47F94">
        <w:t xml:space="preserve">for all </w:t>
      </w:r>
      <w:r w:rsidR="008B69CF">
        <w:t>electrodes i</w:t>
      </w:r>
      <w:r w:rsidR="003C73CF" w:rsidRPr="00E47F94">
        <w:t>n a well</w:t>
      </w:r>
      <w:r w:rsidRPr="00E47F94">
        <w:t xml:space="preserve">, using the spike time tiling coefficient </w:t>
      </w:r>
      <w:r w:rsidRPr="00E47F94">
        <w:rPr>
          <w:rFonts w:cs="Times New Roman"/>
        </w:rPr>
        <w:lastRenderedPageBreak/>
        <w:t>(</w:t>
      </w:r>
      <w:proofErr w:type="spellStart"/>
      <w:r w:rsidRPr="00E47F94">
        <w:rPr>
          <w:rFonts w:cs="Times New Roman"/>
        </w:rPr>
        <w:t>Cutts</w:t>
      </w:r>
      <w:proofErr w:type="spellEnd"/>
      <w:r w:rsidRPr="00E47F94">
        <w:rPr>
          <w:rFonts w:cs="Times New Roman"/>
        </w:rPr>
        <w:t xml:space="preserve"> and Eglen, 2014). </w:t>
      </w:r>
      <w:r w:rsidR="001E0489" w:rsidRPr="00E47F94">
        <w:rPr>
          <w:rFonts w:cs="Times New Roman"/>
        </w:rPr>
        <w:t>Correlations strengthen</w:t>
      </w:r>
      <w:r w:rsidR="00915F40">
        <w:rPr>
          <w:rFonts w:cs="Times New Roman"/>
        </w:rPr>
        <w:t>ed</w:t>
      </w:r>
      <w:r w:rsidR="001E0489" w:rsidRPr="00E47F94">
        <w:rPr>
          <w:rFonts w:cs="Times New Roman"/>
        </w:rPr>
        <w:t xml:space="preserve"> over development, particularly at early </w:t>
      </w:r>
      <w:r w:rsidR="00F47524" w:rsidRPr="00E47F94">
        <w:rPr>
          <w:rFonts w:cs="Times New Roman"/>
        </w:rPr>
        <w:t>ages (</w:t>
      </w:r>
      <w:r w:rsidR="008F5817" w:rsidRPr="00E47F94">
        <w:rPr>
          <w:rFonts w:cs="Times New Roman"/>
        </w:rPr>
        <w:t>Figure 4).</w:t>
      </w:r>
    </w:p>
    <w:p w14:paraId="420FC400" w14:textId="77777777" w:rsidR="00181AE5" w:rsidRPr="00E06617" w:rsidRDefault="00181AE5" w:rsidP="00181AE5"/>
    <w:p w14:paraId="03FD8FA1" w14:textId="778AC6AC" w:rsidR="00353FCC" w:rsidRPr="00612EC5" w:rsidRDefault="00BB3B2F" w:rsidP="00E47F94">
      <w:pPr>
        <w:rPr>
          <w:b/>
        </w:rPr>
      </w:pPr>
      <w:r w:rsidRPr="00E06617">
        <w:rPr>
          <w:b/>
        </w:rPr>
        <w:t>PCA</w:t>
      </w:r>
    </w:p>
    <w:p w14:paraId="06D7D705" w14:textId="0AD83AFE" w:rsidR="00BB3B2F" w:rsidRPr="00E06617" w:rsidRDefault="00BB3B2F" w:rsidP="007B3BA7">
      <w:pPr>
        <w:tabs>
          <w:tab w:val="left" w:pos="1980"/>
        </w:tabs>
        <w:spacing w:line="480" w:lineRule="auto"/>
      </w:pPr>
      <w:r w:rsidRPr="00612EC5">
        <w:t>A PC</w:t>
      </w:r>
      <w:r w:rsidR="00D537F9" w:rsidRPr="00612EC5">
        <w:t>A was undertaken to</w:t>
      </w:r>
      <w:r w:rsidRPr="00612EC5">
        <w:t xml:space="preserve"> visual</w:t>
      </w:r>
      <w:r w:rsidR="00353FCC" w:rsidRPr="00612EC5">
        <w:t xml:space="preserve">ize </w:t>
      </w:r>
      <w:r w:rsidR="00D537F9" w:rsidRPr="00612EC5">
        <w:t>the level of</w:t>
      </w:r>
      <w:r w:rsidR="00353FCC" w:rsidRPr="00612EC5">
        <w:t xml:space="preserve"> differentiation </w:t>
      </w:r>
      <w:r w:rsidR="00F87C11" w:rsidRPr="00612EC5">
        <w:t>among the four culture</w:t>
      </w:r>
      <w:r w:rsidR="00D537F9" w:rsidRPr="00C1704B">
        <w:t xml:space="preserve"> </w:t>
      </w:r>
      <w:r w:rsidRPr="00C1704B">
        <w:t>age</w:t>
      </w:r>
      <w:r w:rsidR="00D537F9" w:rsidRPr="00EF7A71">
        <w:t>s</w:t>
      </w:r>
      <w:r w:rsidRPr="00E06617">
        <w:t xml:space="preserve">. </w:t>
      </w:r>
      <w:r w:rsidR="00D537F9" w:rsidRPr="00E06617">
        <w:t xml:space="preserve">  </w:t>
      </w:r>
      <w:r w:rsidR="00353FCC" w:rsidRPr="00E06617">
        <w:t xml:space="preserve">The </w:t>
      </w:r>
      <w:r w:rsidR="000A097B" w:rsidRPr="00E06617">
        <w:t xml:space="preserve">wells projected onto the first two PC dimensions show </w:t>
      </w:r>
      <w:r w:rsidR="00353FCC" w:rsidRPr="00E06617">
        <w:t>a</w:t>
      </w:r>
      <w:r w:rsidR="000A097B" w:rsidRPr="00E06617">
        <w:t xml:space="preserve"> stochastic organization starting from</w:t>
      </w:r>
      <w:r w:rsidR="00353FCC" w:rsidRPr="00E06617">
        <w:t xml:space="preserve"> the earliest age (</w:t>
      </w:r>
      <w:r w:rsidR="006F3F24">
        <w:t>red</w:t>
      </w:r>
      <w:r w:rsidR="000A097B" w:rsidRPr="00E06617">
        <w:t>,</w:t>
      </w:r>
      <w:r w:rsidR="00353FCC" w:rsidRPr="00E06617">
        <w:t xml:space="preserve"> DIV 5</w:t>
      </w:r>
      <w:r w:rsidR="00A15E20" w:rsidRPr="00E06617">
        <w:t xml:space="preserve">) </w:t>
      </w:r>
      <w:r w:rsidR="000A097B" w:rsidRPr="00E06617">
        <w:t xml:space="preserve">progressing </w:t>
      </w:r>
      <w:r w:rsidR="00A15E20" w:rsidRPr="00E06617">
        <w:t>through to the oldest age (</w:t>
      </w:r>
      <w:r w:rsidR="006F3F24">
        <w:t>purple</w:t>
      </w:r>
      <w:r w:rsidR="00353FCC" w:rsidRPr="00E06617">
        <w:t xml:space="preserve">, DIV 12).  </w:t>
      </w:r>
      <w:r w:rsidR="00F44390" w:rsidRPr="00E06617">
        <w:t xml:space="preserve"> </w:t>
      </w:r>
      <w:r w:rsidR="00A15E20" w:rsidRPr="00E06617">
        <w:t>The progression is roughly aligned w</w:t>
      </w:r>
      <w:r w:rsidR="00751CB2" w:rsidRPr="00E06617">
        <w:t xml:space="preserve">ith the first PC dimension, </w:t>
      </w:r>
      <w:r w:rsidR="00553C60" w:rsidRPr="00E06617">
        <w:t>which accounts</w:t>
      </w:r>
      <w:r w:rsidR="00A15E20" w:rsidRPr="00E06617">
        <w:t xml:space="preserve"> for nearly 50% of the variation. </w:t>
      </w:r>
      <w:commentRangeStart w:id="13"/>
      <w:commentRangeStart w:id="14"/>
      <w:r w:rsidR="00553C60" w:rsidRPr="00E06617">
        <w:t xml:space="preserve">This means that the principal mode of variation corresponds </w:t>
      </w:r>
      <w:r w:rsidR="001D7E83" w:rsidRPr="00E06617">
        <w:t>to</w:t>
      </w:r>
      <w:r w:rsidR="00553C60" w:rsidRPr="00E06617">
        <w:t xml:space="preserve"> the difference in ages of the cultures</w:t>
      </w:r>
      <w:commentRangeEnd w:id="13"/>
      <w:r w:rsidR="00740850">
        <w:rPr>
          <w:rStyle w:val="CommentReference"/>
        </w:rPr>
        <w:commentReference w:id="13"/>
      </w:r>
      <w:commentRangeEnd w:id="14"/>
      <w:r w:rsidR="00123089">
        <w:rPr>
          <w:rStyle w:val="CommentReference"/>
        </w:rPr>
        <w:commentReference w:id="14"/>
      </w:r>
      <w:r w:rsidR="00553C60" w:rsidRPr="00E06617">
        <w:t xml:space="preserve">. </w:t>
      </w:r>
      <w:ins w:id="15" w:author="Diana" w:date="2015-09-02T15:40:00Z">
        <w:r w:rsidR="004B6250">
          <w:t xml:space="preserve">  </w:t>
        </w:r>
      </w:ins>
      <w:ins w:id="16" w:author="Diana" w:date="2015-09-02T15:42:00Z">
        <w:r w:rsidR="004B6250">
          <w:t xml:space="preserve">Moreover, </w:t>
        </w:r>
      </w:ins>
      <w:ins w:id="17" w:author="Diana" w:date="2015-09-02T15:43:00Z">
        <w:r w:rsidR="004B6250">
          <w:t>all factor loadings are pos</w:t>
        </w:r>
      </w:ins>
      <w:ins w:id="18" w:author="Diana" w:date="2015-09-02T15:44:00Z">
        <w:r w:rsidR="004B6250">
          <w:t>itive on the first PC dimension</w:t>
        </w:r>
      </w:ins>
      <w:r w:rsidR="008B69CF">
        <w:t>,</w:t>
      </w:r>
      <w:ins w:id="19" w:author="Diana" w:date="2015-09-02T15:44:00Z">
        <w:r w:rsidR="004B6250">
          <w:t xml:space="preserve"> meaning that </w:t>
        </w:r>
        <w:r w:rsidR="00425A89">
          <w:t>an increase in PC1 is associated with an increase in all 11 variables.</w:t>
        </w:r>
      </w:ins>
      <w:r w:rsidR="00A15E20" w:rsidRPr="00E06617">
        <w:t xml:space="preserve"> </w:t>
      </w:r>
      <w:r w:rsidR="005E3B6F">
        <w:t xml:space="preserve">Another salient </w:t>
      </w:r>
      <w:r w:rsidR="00A15E20" w:rsidRPr="00E06617">
        <w:t>aspect</w:t>
      </w:r>
      <w:r w:rsidR="003079A3" w:rsidRPr="00E06617">
        <w:t xml:space="preserve"> of the PC projection is that variation appears smaller at earlier ages. </w:t>
      </w:r>
      <w:r w:rsidR="00A15E20" w:rsidRPr="00E06617">
        <w:t>Similarly, the projection of the plate averages onto th</w:t>
      </w:r>
      <w:r w:rsidR="003079A3" w:rsidRPr="00E06617">
        <w:t>e first two PC dim</w:t>
      </w:r>
      <w:r w:rsidR="00553C60" w:rsidRPr="00E06617">
        <w:t>ensions yields a rough segregation by DIV</w:t>
      </w:r>
      <w:r w:rsidR="00A15E20" w:rsidRPr="00E06617">
        <w:t xml:space="preserve">.  </w:t>
      </w:r>
      <w:r w:rsidR="003079A3" w:rsidRPr="00E06617">
        <w:t>As in the well-l</w:t>
      </w:r>
      <w:r w:rsidR="00553C60" w:rsidRPr="00E06617">
        <w:t>evel PCA, the plate average DIVs</w:t>
      </w:r>
      <w:r w:rsidR="003079A3" w:rsidRPr="00E06617">
        <w:t xml:space="preserve"> are aligned with the first PC dimension</w:t>
      </w:r>
      <w:r w:rsidR="006F3F24">
        <w:t>,</w:t>
      </w:r>
      <w:r w:rsidR="00311FE1">
        <w:t xml:space="preserve"> revealing a consistent age-</w:t>
      </w:r>
      <w:r w:rsidR="003079A3" w:rsidRPr="00E06617">
        <w:t xml:space="preserve">related characteristic to the data.  </w:t>
      </w:r>
      <w:proofErr w:type="gramStart"/>
      <w:r w:rsidR="003079A3" w:rsidRPr="00E06617">
        <w:t xml:space="preserve">A greater percentage of variability is captured by the first PC dimension (67%) as compared </w:t>
      </w:r>
      <w:r w:rsidR="00553C60" w:rsidRPr="00E06617">
        <w:t>with the well-level PCA</w:t>
      </w:r>
      <w:r w:rsidR="006F3F24">
        <w:t>,</w:t>
      </w:r>
      <w:r w:rsidR="00553C60" w:rsidRPr="00E06617">
        <w:t xml:space="preserve"> related to the fact that taking averages reduces well</w:t>
      </w:r>
      <w:r w:rsidR="00311FE1">
        <w:t>-</w:t>
      </w:r>
      <w:r w:rsidR="00553C60" w:rsidRPr="00E06617">
        <w:t>to</w:t>
      </w:r>
      <w:r w:rsidR="00311FE1">
        <w:t>-</w:t>
      </w:r>
      <w:r w:rsidR="00553C60" w:rsidRPr="00E06617">
        <w:t>well variability</w:t>
      </w:r>
      <w:proofErr w:type="gramEnd"/>
      <w:r w:rsidR="00553C60" w:rsidRPr="00E06617">
        <w:t xml:space="preserve">.  </w:t>
      </w:r>
      <w:r w:rsidR="003079A3" w:rsidRPr="00E06617">
        <w:t>Both PCAs display sufficient vis</w:t>
      </w:r>
      <w:r w:rsidR="00FA3644" w:rsidRPr="00E06617">
        <w:t>ual differentia</w:t>
      </w:r>
      <w:r w:rsidR="00553C60" w:rsidRPr="00E06617">
        <w:t>tion between observations by DIV</w:t>
      </w:r>
      <w:r w:rsidR="00FA3644" w:rsidRPr="00E06617">
        <w:t xml:space="preserve"> that a more thorough quantification of th</w:t>
      </w:r>
      <w:r w:rsidR="00553C60" w:rsidRPr="00E06617">
        <w:t>is separation is warranted through</w:t>
      </w:r>
      <w:r w:rsidR="00FA3644" w:rsidRPr="00E06617">
        <w:t xml:space="preserve"> classification techniques.</w:t>
      </w:r>
      <w:r w:rsidR="00353FCC" w:rsidRPr="00E06617">
        <w:t xml:space="preserve"> </w:t>
      </w:r>
    </w:p>
    <w:p w14:paraId="0B0F7F28" w14:textId="13E7A92D" w:rsidR="00E95B9F" w:rsidRPr="00E06617" w:rsidRDefault="00353FCC" w:rsidP="00E95B9F">
      <w:pPr>
        <w:rPr>
          <w:b/>
        </w:rPr>
      </w:pPr>
      <w:r w:rsidRPr="00E06617">
        <w:t xml:space="preserve"> </w:t>
      </w:r>
      <w:r w:rsidR="00E95B9F" w:rsidRPr="00E06617">
        <w:rPr>
          <w:b/>
        </w:rPr>
        <w:t>Classification</w:t>
      </w:r>
    </w:p>
    <w:p w14:paraId="1D4C229B" w14:textId="102858B5" w:rsidR="00FA3910" w:rsidRPr="00E06617" w:rsidRDefault="00E95B9F" w:rsidP="007B3BA7">
      <w:pPr>
        <w:spacing w:line="480" w:lineRule="auto"/>
      </w:pPr>
      <w:r w:rsidRPr="00E06617">
        <w:t xml:space="preserve">Classification techniques were used to determine the degree to which the </w:t>
      </w:r>
      <w:r w:rsidR="00212A4B" w:rsidRPr="00E06617">
        <w:t>recordings could</w:t>
      </w:r>
      <w:r w:rsidRPr="00E06617">
        <w:t xml:space="preserve"> be separate</w:t>
      </w:r>
      <w:r w:rsidR="00C7227A" w:rsidRPr="00E06617">
        <w:t xml:space="preserve">d into their ages </w:t>
      </w:r>
      <w:r w:rsidR="00FA3910" w:rsidRPr="00E06617">
        <w:t>using the features specified above</w:t>
      </w:r>
      <w:r w:rsidR="00C7227A" w:rsidRPr="00E06617">
        <w:t>. Firstly, a ra</w:t>
      </w:r>
      <w:r w:rsidR="009A4510" w:rsidRPr="00E06617">
        <w:t>n</w:t>
      </w:r>
      <w:r w:rsidR="00C7227A" w:rsidRPr="00E06617">
        <w:t xml:space="preserve">dom forest </w:t>
      </w:r>
      <w:r w:rsidR="00C7227A" w:rsidRPr="00E06617">
        <w:lastRenderedPageBreak/>
        <w:t xml:space="preserve">model was </w:t>
      </w:r>
      <w:r w:rsidR="00FA3910" w:rsidRPr="00E06617">
        <w:t xml:space="preserve">built and used to predict the age of each </w:t>
      </w:r>
      <w:r w:rsidR="00E52897" w:rsidRPr="00E06617">
        <w:t>well</w:t>
      </w:r>
      <w:r w:rsidR="00FA3910" w:rsidRPr="00E06617">
        <w:t>,</w:t>
      </w:r>
      <w:r w:rsidR="00C7227A" w:rsidRPr="00E06617">
        <w:t xml:space="preserve"> </w:t>
      </w:r>
      <w:r w:rsidR="006E1FC5" w:rsidRPr="00E06617">
        <w:t>using the t</w:t>
      </w:r>
      <w:r w:rsidR="00E52897" w:rsidRPr="00E06617">
        <w:t>welve</w:t>
      </w:r>
      <w:r w:rsidR="006E1FC5" w:rsidRPr="00E06617">
        <w:t xml:space="preserve"> features from our analysis</w:t>
      </w:r>
      <w:r w:rsidR="00C7227A" w:rsidRPr="00E06617">
        <w:t xml:space="preserve">. The model was built using </w:t>
      </w:r>
      <w:r w:rsidR="002327F9" w:rsidRPr="00E06617">
        <w:t>two-thirds</w:t>
      </w:r>
      <w:r w:rsidR="00C7227A" w:rsidRPr="00E06617">
        <w:t xml:space="preserve"> of the data as a training s</w:t>
      </w:r>
      <w:r w:rsidR="006E1FC5" w:rsidRPr="00E06617">
        <w:t xml:space="preserve">et and its accuracy determined by using the remaining </w:t>
      </w:r>
      <w:r w:rsidR="002327F9" w:rsidRPr="00E06617">
        <w:t>one-third</w:t>
      </w:r>
      <w:r w:rsidR="006E1FC5" w:rsidRPr="00E06617">
        <w:t xml:space="preserve"> of </w:t>
      </w:r>
      <w:r w:rsidR="002327F9" w:rsidRPr="00E06617">
        <w:t xml:space="preserve">the </w:t>
      </w:r>
      <w:r w:rsidR="006E1FC5" w:rsidRPr="00E06617">
        <w:t xml:space="preserve">data as a test set.  </w:t>
      </w:r>
      <w:r w:rsidR="002327F9" w:rsidRPr="00E06617">
        <w:t xml:space="preserve">When used to predict the age of each </w:t>
      </w:r>
      <w:r w:rsidR="00E52897" w:rsidRPr="00E06617">
        <w:t>well</w:t>
      </w:r>
      <w:r w:rsidR="002327F9" w:rsidRPr="00E06617">
        <w:t xml:space="preserve"> fr</w:t>
      </w:r>
      <w:r w:rsidR="00793F28" w:rsidRPr="00E06617">
        <w:t>om the four possible ages, the</w:t>
      </w:r>
      <w:r w:rsidR="002327F9" w:rsidRPr="00E06617">
        <w:t xml:space="preserve"> accuracy of the rand</w:t>
      </w:r>
      <w:r w:rsidR="00210FBC" w:rsidRPr="00E06617">
        <w:t>om forest model, averaged over one</w:t>
      </w:r>
      <w:r w:rsidR="002327F9" w:rsidRPr="00E06617">
        <w:t xml:space="preserve"> hund</w:t>
      </w:r>
      <w:r w:rsidR="00E52897" w:rsidRPr="00E06617">
        <w:t>red trails, was approximately 72</w:t>
      </w:r>
      <w:r w:rsidR="002327F9" w:rsidRPr="00E06617">
        <w:t>% (compared to the 25% accuracy that could be expected by chance).</w:t>
      </w:r>
    </w:p>
    <w:p w14:paraId="13B2F82D" w14:textId="7004D7BD" w:rsidR="006E1FC5" w:rsidRPr="00E06617" w:rsidRDefault="002327F9" w:rsidP="007B3BA7">
      <w:pPr>
        <w:spacing w:line="480" w:lineRule="auto"/>
      </w:pPr>
      <w:r w:rsidRPr="00E06617">
        <w:t>From these random forest models, we were also able to determine the relative importance of each of the features in driving the classification (</w:t>
      </w:r>
      <w:r w:rsidR="00FD16BB" w:rsidRPr="00E06617">
        <w:t>Figure 6</w:t>
      </w:r>
      <w:r w:rsidR="00E52897" w:rsidRPr="00E06617">
        <w:t xml:space="preserve">). The two most important features </w:t>
      </w:r>
      <w:r w:rsidR="00210FBC" w:rsidRPr="00E06617">
        <w:t xml:space="preserve">were those measuring </w:t>
      </w:r>
      <w:r w:rsidR="004A75CE" w:rsidRPr="00E06617">
        <w:t>coefficient</w:t>
      </w:r>
      <w:r w:rsidR="00210FBC" w:rsidRPr="00E06617">
        <w:t>s</w:t>
      </w:r>
      <w:r w:rsidR="004A75CE" w:rsidRPr="00E06617">
        <w:t xml:space="preserve"> of variation, </w:t>
      </w:r>
      <w:r w:rsidR="00FD16BB" w:rsidRPr="00E06617">
        <w:t xml:space="preserve">namely </w:t>
      </w:r>
      <w:r w:rsidR="004A75CE" w:rsidRPr="00E06617">
        <w:t>the CV of within burst ISI</w:t>
      </w:r>
      <w:r w:rsidR="00FD16BB" w:rsidRPr="00E06617">
        <w:t xml:space="preserve"> and CV of IBI</w:t>
      </w:r>
      <w:r w:rsidR="004A75CE" w:rsidRPr="00E06617">
        <w:t>.</w:t>
      </w:r>
      <w:r w:rsidR="006E1FC5" w:rsidRPr="00E06617">
        <w:t xml:space="preserve"> In our developmental analysis, these t</w:t>
      </w:r>
      <w:r w:rsidR="004A75CE" w:rsidRPr="00E06617">
        <w:t>wo</w:t>
      </w:r>
      <w:r w:rsidR="006E1FC5" w:rsidRPr="00E06617">
        <w:t xml:space="preserve"> features</w:t>
      </w:r>
      <w:r w:rsidR="00FD16BB" w:rsidRPr="00E06617">
        <w:t xml:space="preserve"> both</w:t>
      </w:r>
      <w:r w:rsidR="007308B4" w:rsidRPr="00E06617">
        <w:t xml:space="preserve"> exhibited </w:t>
      </w:r>
      <w:r w:rsidR="006E1FC5" w:rsidRPr="00E06617">
        <w:t xml:space="preserve">a monotonically increasing trend with </w:t>
      </w:r>
      <w:commentRangeStart w:id="20"/>
      <w:r w:rsidR="006E1FC5" w:rsidRPr="00E06617">
        <w:t>age</w:t>
      </w:r>
      <w:commentRangeEnd w:id="20"/>
      <w:r w:rsidR="00915F40">
        <w:rPr>
          <w:rStyle w:val="CommentReference"/>
        </w:rPr>
        <w:commentReference w:id="20"/>
      </w:r>
      <w:r w:rsidR="006E1FC5" w:rsidRPr="00E06617">
        <w:t xml:space="preserve">.  </w:t>
      </w:r>
    </w:p>
    <w:p w14:paraId="4056716F" w14:textId="20E93324" w:rsidR="00E95B9F" w:rsidRPr="00E06617" w:rsidRDefault="008D4DC4" w:rsidP="007B3BA7">
      <w:pPr>
        <w:spacing w:line="480" w:lineRule="auto"/>
      </w:pPr>
      <w:r w:rsidRPr="00E06617">
        <w:t xml:space="preserve">Next, we used Support Vector Machines (SVMs) to </w:t>
      </w:r>
      <w:r w:rsidR="002327F9" w:rsidRPr="00E06617">
        <w:t xml:space="preserve">quantify the degree to which recordings could be classified correctly by age when only a subset of our features was used.  </w:t>
      </w:r>
      <w:r w:rsidRPr="00E06617">
        <w:t xml:space="preserve">The SVM </w:t>
      </w:r>
      <w:proofErr w:type="gramStart"/>
      <w:r w:rsidRPr="00E06617">
        <w:t>classifier,</w:t>
      </w:r>
      <w:proofErr w:type="gramEnd"/>
      <w:r w:rsidRPr="00E06617">
        <w:t xml:space="preserve"> built using the same </w:t>
      </w:r>
      <w:r w:rsidR="002327F9" w:rsidRPr="00E06617">
        <w:t>proportion</w:t>
      </w:r>
      <w:r w:rsidRPr="00E06617">
        <w:t xml:space="preserve"> of training and test sets specified above, h</w:t>
      </w:r>
      <w:r w:rsidR="00AF603A" w:rsidRPr="00E06617">
        <w:t xml:space="preserve">ad a </w:t>
      </w:r>
      <w:r w:rsidR="00210FBC" w:rsidRPr="00E06617">
        <w:t>slightly higher</w:t>
      </w:r>
      <w:r w:rsidR="00AF635D" w:rsidRPr="00E06617">
        <w:t xml:space="preserve"> level of accuracy, of approximately 75.6%, compared to </w:t>
      </w:r>
      <w:r w:rsidR="00793F28" w:rsidRPr="00E06617">
        <w:t>the random forest model</w:t>
      </w:r>
      <w:r w:rsidR="006708DD" w:rsidRPr="00E06617">
        <w:t xml:space="preserve"> using all </w:t>
      </w:r>
      <w:r w:rsidR="00E52897" w:rsidRPr="00E06617">
        <w:t>twelve</w:t>
      </w:r>
      <w:r w:rsidR="006708DD" w:rsidRPr="00E06617">
        <w:t xml:space="preserve"> features. </w:t>
      </w:r>
      <w:r w:rsidR="005832EC">
        <w:t xml:space="preserve">Using the ordering of feature importance found above, we </w:t>
      </w:r>
      <w:r w:rsidR="00E46DD6">
        <w:t xml:space="preserve">were </w:t>
      </w:r>
      <w:r w:rsidR="005832EC">
        <w:t>then</w:t>
      </w:r>
      <w:r w:rsidR="00170434">
        <w:t xml:space="preserve"> </w:t>
      </w:r>
      <w:r w:rsidR="00E46DD6">
        <w:t>able to analyze how</w:t>
      </w:r>
      <w:r w:rsidR="00170434">
        <w:t xml:space="preserve"> prediction accuracy varied as the number of features was reduced</w:t>
      </w:r>
      <w:r w:rsidR="005832EC">
        <w:t xml:space="preserve">. Table 3 shows the performance of the SVM as the number of features used in the classification was reduced from twelve, in the bottom row, to just one feature, CV of within burst ISI, in row one. </w:t>
      </w:r>
      <w:commentRangeStart w:id="21"/>
      <w:r w:rsidR="00F47524" w:rsidRPr="00E06617">
        <w:t>.</w:t>
      </w:r>
      <w:r w:rsidR="00870A63" w:rsidRPr="00E06617">
        <w:t xml:space="preserve"> </w:t>
      </w:r>
      <w:r w:rsidR="00F47524" w:rsidRPr="00E06617">
        <w:t>In general we found that the classification accuracy remained high</w:t>
      </w:r>
      <w:r w:rsidR="002F4DFE">
        <w:t xml:space="preserve"> (~70% or higher)</w:t>
      </w:r>
      <w:r w:rsidR="00F47524" w:rsidRPr="00E06617">
        <w:t xml:space="preserve"> as the number of features</w:t>
      </w:r>
      <w:r w:rsidR="004A75CE" w:rsidRPr="00E06617">
        <w:t xml:space="preserve"> was</w:t>
      </w:r>
      <w:r w:rsidR="00DA3E99" w:rsidRPr="00E06617">
        <w:t xml:space="preserve"> </w:t>
      </w:r>
      <w:r w:rsidR="00F47524" w:rsidRPr="00E06617">
        <w:t>reduced</w:t>
      </w:r>
      <w:r w:rsidR="002F4DFE">
        <w:t>. H</w:t>
      </w:r>
      <w:r w:rsidR="004A75CE" w:rsidRPr="00E06617">
        <w:t xml:space="preserve">owever, </w:t>
      </w:r>
      <w:r w:rsidR="00FD16BB" w:rsidRPr="00E06617">
        <w:t xml:space="preserve">four features </w:t>
      </w:r>
      <w:r w:rsidR="002F4DFE">
        <w:t xml:space="preserve">(burst </w:t>
      </w:r>
      <w:r w:rsidR="002F4DFE">
        <w:lastRenderedPageBreak/>
        <w:t xml:space="preserve">rate, network spike rate, CV of IBI and CV of within burst ISI) </w:t>
      </w:r>
      <w:r w:rsidR="00FD16BB" w:rsidRPr="00E06617">
        <w:t xml:space="preserve">were required to </w:t>
      </w:r>
      <w:r w:rsidRPr="00E06617">
        <w:t xml:space="preserve">maintain </w:t>
      </w:r>
      <w:r w:rsidR="00F47524" w:rsidRPr="00E06617">
        <w:t xml:space="preserve">a </w:t>
      </w:r>
      <w:r w:rsidRPr="00E06617">
        <w:t>p</w:t>
      </w:r>
      <w:r w:rsidR="00AF635D" w:rsidRPr="00E06617">
        <w:t>rediction accuracy</w:t>
      </w:r>
      <w:r w:rsidR="00FD16BB" w:rsidRPr="00E06617">
        <w:t xml:space="preserve"> </w:t>
      </w:r>
      <w:r w:rsidR="002F4DFE">
        <w:t xml:space="preserve">&gt;65% </w:t>
      </w:r>
      <w:r w:rsidR="00FD16BB" w:rsidRPr="00E06617">
        <w:t xml:space="preserve">(Table </w:t>
      </w:r>
      <w:commentRangeStart w:id="22"/>
      <w:commentRangeStart w:id="23"/>
      <w:r w:rsidR="00FD16BB" w:rsidRPr="00E06617">
        <w:t>3</w:t>
      </w:r>
      <w:commentRangeEnd w:id="22"/>
      <w:r w:rsidR="00740850">
        <w:rPr>
          <w:rStyle w:val="CommentReference"/>
        </w:rPr>
        <w:commentReference w:id="22"/>
      </w:r>
      <w:commentRangeEnd w:id="23"/>
      <w:r w:rsidR="00A77BAC">
        <w:rPr>
          <w:rStyle w:val="CommentReference"/>
        </w:rPr>
        <w:commentReference w:id="23"/>
      </w:r>
      <w:r w:rsidRPr="00E06617">
        <w:t xml:space="preserve">). </w:t>
      </w:r>
      <w:commentRangeEnd w:id="21"/>
      <w:r w:rsidR="002F4DFE">
        <w:rPr>
          <w:rStyle w:val="CommentReference"/>
        </w:rPr>
        <w:commentReference w:id="21"/>
      </w:r>
    </w:p>
    <w:p w14:paraId="772CBC91" w14:textId="2D5CEE65" w:rsidR="00E95B9F" w:rsidRDefault="00F47524" w:rsidP="007B3BA7">
      <w:pPr>
        <w:spacing w:line="480" w:lineRule="auto"/>
      </w:pPr>
      <w:r w:rsidRPr="00E06617">
        <w:t xml:space="preserve">We used a similar method to examine </w:t>
      </w:r>
      <w:r w:rsidR="00793F28" w:rsidRPr="00E06617">
        <w:t>the extent to which each</w:t>
      </w:r>
      <w:r w:rsidR="009A4510" w:rsidRPr="00E06617">
        <w:t xml:space="preserve"> pair of ages </w:t>
      </w:r>
      <w:r w:rsidR="007308B4" w:rsidRPr="00E06617">
        <w:t xml:space="preserve">of arrays </w:t>
      </w:r>
      <w:r w:rsidR="009A4510" w:rsidRPr="00E06617">
        <w:t>could be separated using classification techniques</w:t>
      </w:r>
      <w:r w:rsidRPr="00E06617">
        <w:t xml:space="preserve">. In this case, rather than using all of the data in the classification, the SVM </w:t>
      </w:r>
      <w:r w:rsidR="009A4510" w:rsidRPr="00E06617">
        <w:t>classifier</w:t>
      </w:r>
      <w:r w:rsidRPr="00E06617">
        <w:t xml:space="preserve"> was built separately on each pairwise combination of ages. </w:t>
      </w:r>
      <w:r w:rsidR="00870A63" w:rsidRPr="00E06617">
        <w:t xml:space="preserve">The classifier was most accurate in distinguishing arrays with large differences in age, for example DIV 5 and DIV 12 arrays, for which only the top feature, </w:t>
      </w:r>
      <w:r w:rsidR="00FD16BB" w:rsidRPr="00E06617">
        <w:t>CV of within burst ISI</w:t>
      </w:r>
      <w:r w:rsidR="00870A63" w:rsidRPr="00E06617">
        <w:t>, was required to achieve</w:t>
      </w:r>
      <w:r w:rsidR="004A75CE" w:rsidRPr="00E06617">
        <w:t xml:space="preserve"> </w:t>
      </w:r>
      <w:r w:rsidR="00AF635D" w:rsidRPr="00E06617">
        <w:t>almost 93</w:t>
      </w:r>
      <w:r w:rsidR="00870A63" w:rsidRPr="00E06617">
        <w:t>% prediction accuracy (</w:t>
      </w:r>
      <w:r w:rsidR="00FD16BB" w:rsidRPr="00E06617">
        <w:t>Table 4</w:t>
      </w:r>
      <w:r w:rsidR="00870A63" w:rsidRPr="00E06617">
        <w:t>). Class</w:t>
      </w:r>
      <w:r w:rsidR="00793F28" w:rsidRPr="00E06617">
        <w:t>ification performance was poorest</w:t>
      </w:r>
      <w:r w:rsidR="00870A63" w:rsidRPr="00E06617">
        <w:t xml:space="preserve"> for pairs of arrays in which the age difference was low</w:t>
      </w:r>
      <w:r w:rsidR="00793F28" w:rsidRPr="00E06617">
        <w:t>. For example, the prediction accuracy for distinguishing DIV 9 from DIV 12 arrays</w:t>
      </w:r>
      <w:r w:rsidR="002C50B7" w:rsidRPr="00E06617">
        <w:t xml:space="preserve"> wa</w:t>
      </w:r>
      <w:r w:rsidR="00AF635D" w:rsidRPr="00E06617">
        <w:t>s only just above chance when using one feature</w:t>
      </w:r>
      <w:ins w:id="24" w:author="Shafer, Timothy" w:date="2015-09-03T11:14:00Z">
        <w:r w:rsidR="00BF66DF">
          <w:t xml:space="preserve">. Using all features improved the ability to distinguish between </w:t>
        </w:r>
        <w:proofErr w:type="gramStart"/>
        <w:r w:rsidR="00BF66DF">
          <w:t>closely-related</w:t>
        </w:r>
        <w:proofErr w:type="gramEnd"/>
        <w:r w:rsidR="00BF66DF">
          <w:t xml:space="preserve"> ages</w:t>
        </w:r>
      </w:ins>
      <w:ins w:id="25" w:author="Shafer, Timothy" w:date="2015-09-03T11:17:00Z">
        <w:r w:rsidR="00BF66DF">
          <w:t xml:space="preserve"> to ~82-83%, which is well above </w:t>
        </w:r>
        <w:commentRangeStart w:id="26"/>
        <w:r w:rsidR="00BF66DF">
          <w:t>chance</w:t>
        </w:r>
      </w:ins>
      <w:del w:id="27" w:author="Shafer, Timothy" w:date="2015-09-03T11:17:00Z">
        <w:r w:rsidR="00AF635D" w:rsidRPr="00E06617" w:rsidDel="00BF66DF">
          <w:delText>, and</w:delText>
        </w:r>
        <w:r w:rsidR="00793F28" w:rsidRPr="00E06617" w:rsidDel="00BF66DF">
          <w:delText xml:space="preserve"> nev</w:delText>
        </w:r>
        <w:r w:rsidR="00AF635D" w:rsidRPr="00E06617" w:rsidDel="00BF66DF">
          <w:delText>er exceeded 86</w:delText>
        </w:r>
        <w:r w:rsidR="007308B4" w:rsidRPr="00E06617" w:rsidDel="00BF66DF">
          <w:delText xml:space="preserve">% </w:delText>
        </w:r>
        <w:r w:rsidR="00793F28" w:rsidRPr="00E06617" w:rsidDel="00BF66DF">
          <w:delText xml:space="preserve">when using any combination of </w:delText>
        </w:r>
        <w:r w:rsidR="00870A63" w:rsidRPr="00E06617" w:rsidDel="00BF66DF">
          <w:delText>features</w:delText>
        </w:r>
      </w:del>
      <w:commentRangeEnd w:id="26"/>
      <w:r w:rsidR="00BF66DF">
        <w:rPr>
          <w:rStyle w:val="CommentReference"/>
        </w:rPr>
        <w:commentReference w:id="26"/>
      </w:r>
      <w:r w:rsidR="00870A63" w:rsidRPr="00E06617">
        <w:t xml:space="preserve"> (</w:t>
      </w:r>
      <w:r w:rsidR="00FD16BB" w:rsidRPr="00E06617">
        <w:t>Table 4</w:t>
      </w:r>
      <w:r w:rsidR="00870A63" w:rsidRPr="00E06617">
        <w:t xml:space="preserve">). </w:t>
      </w:r>
    </w:p>
    <w:p w14:paraId="44A21111" w14:textId="77777777" w:rsidR="00C1704B" w:rsidRDefault="00C1704B" w:rsidP="007B3BA7">
      <w:pPr>
        <w:spacing w:line="480" w:lineRule="auto"/>
      </w:pPr>
    </w:p>
    <w:p w14:paraId="18758648" w14:textId="60E89D9A" w:rsidR="00C1704B" w:rsidRDefault="00C1704B" w:rsidP="007B3BA7">
      <w:pPr>
        <w:spacing w:line="480" w:lineRule="auto"/>
      </w:pPr>
      <w:r>
        <w:t>How many wells are needed?</w:t>
      </w:r>
    </w:p>
    <w:p w14:paraId="56F2F848" w14:textId="3D305D28" w:rsidR="00C1704B" w:rsidRPr="00C1704B" w:rsidRDefault="00C1704B" w:rsidP="007B3BA7">
      <w:pPr>
        <w:spacing w:line="480" w:lineRule="auto"/>
      </w:pPr>
      <w:r>
        <w:t xml:space="preserve">The plates used in this study had 48 wells, which were used here to record networks derived from the same culture.  A key question with these </w:t>
      </w:r>
      <w:proofErr w:type="spellStart"/>
      <w:r>
        <w:t>multiw</w:t>
      </w:r>
      <w:r w:rsidR="00E46DD6">
        <w:t>e</w:t>
      </w:r>
      <w:r>
        <w:t>ll</w:t>
      </w:r>
      <w:proofErr w:type="spellEnd"/>
      <w:r>
        <w:t xml:space="preserve"> arrays is how to optimally assign conditions (e.g. drug dose) to different wells.  To test how many wells are needed, we repeated our classification of plates</w:t>
      </w:r>
      <w:r w:rsidR="00A77BAC">
        <w:t xml:space="preserve"> using the SVM method while</w:t>
      </w:r>
      <w:r>
        <w:t xml:space="preserve"> randomly removing wells.  Figure 7 shows that classification </w:t>
      </w:r>
      <w:r w:rsidR="00C575EA">
        <w:t>accuracy remained above 60% with as few as 8 wells. Between 3 and 7 wells, the classification accuracy remained &gt;50%, which is well above the 25% accuracy expected by chance</w:t>
      </w:r>
      <w:r>
        <w:t xml:space="preserve">. This would suggest that with 48 wells, we could record 2 to 3 different conditions simultaneously and yet have enough replicates </w:t>
      </w:r>
      <w:r>
        <w:lastRenderedPageBreak/>
        <w:t>to get robust results.</w:t>
      </w:r>
      <w:r w:rsidR="00EF7A71">
        <w:t xml:space="preserve">  Classification then deteriorates with smaller number of wells.  (Sorry, not explained this </w:t>
      </w:r>
      <w:commentRangeStart w:id="28"/>
      <w:commentRangeStart w:id="29"/>
      <w:r w:rsidR="00EF7A71">
        <w:t>clearly</w:t>
      </w:r>
      <w:commentRangeEnd w:id="28"/>
      <w:r w:rsidR="002F4DFE">
        <w:rPr>
          <w:rStyle w:val="CommentReference"/>
        </w:rPr>
        <w:commentReference w:id="28"/>
      </w:r>
      <w:commentRangeEnd w:id="29"/>
      <w:r w:rsidR="00A77BAC">
        <w:rPr>
          <w:rStyle w:val="CommentReference"/>
        </w:rPr>
        <w:commentReference w:id="29"/>
      </w:r>
      <w:r w:rsidR="00EF7A71">
        <w:t>!)</w:t>
      </w:r>
    </w:p>
    <w:p w14:paraId="5FA482AC" w14:textId="77777777" w:rsidR="00A04995" w:rsidRPr="00EF7A71" w:rsidRDefault="00A04995" w:rsidP="001D03D8">
      <w:pPr>
        <w:rPr>
          <w:b/>
        </w:rPr>
      </w:pPr>
    </w:p>
    <w:p w14:paraId="79178912" w14:textId="77777777" w:rsidR="00F4707A" w:rsidRPr="00612EC5" w:rsidRDefault="00C24E91">
      <w:pPr>
        <w:pStyle w:val="Heading2"/>
        <w:rPr>
          <w:rFonts w:asciiTheme="minorHAnsi" w:hAnsiTheme="minorHAnsi"/>
          <w:sz w:val="24"/>
          <w:szCs w:val="24"/>
        </w:rPr>
      </w:pPr>
      <w:bookmarkStart w:id="30" w:name="discussion"/>
      <w:bookmarkEnd w:id="30"/>
      <w:r w:rsidRPr="00612EC5">
        <w:rPr>
          <w:rFonts w:asciiTheme="minorHAnsi" w:hAnsiTheme="minorHAnsi"/>
          <w:sz w:val="24"/>
          <w:szCs w:val="24"/>
        </w:rPr>
        <w:t>Discussion</w:t>
      </w:r>
    </w:p>
    <w:p w14:paraId="3951EFED" w14:textId="6F447211" w:rsidR="00BA2313" w:rsidRPr="00E06617" w:rsidRDefault="00BA2313" w:rsidP="00612EC5">
      <w:pPr>
        <w:spacing w:line="480" w:lineRule="auto"/>
      </w:pPr>
      <w:r w:rsidRPr="00E06617">
        <w:t xml:space="preserve">The present results describe the ontogeny of network activity </w:t>
      </w:r>
      <w:r w:rsidR="00416477" w:rsidRPr="00612EC5">
        <w:t>in 48 well MEA plates during the first 12 days in vitro. The results demonstrated a rapid ontogeny of spiking, bursting</w:t>
      </w:r>
      <w:r w:rsidR="00740850">
        <w:t>,</w:t>
      </w:r>
      <w:r w:rsidR="00416477" w:rsidRPr="00612EC5">
        <w:t xml:space="preserve"> synchrony and network spiking activity over this period of time</w:t>
      </w:r>
      <w:r w:rsidR="00740850">
        <w:t xml:space="preserve">, which </w:t>
      </w:r>
      <w:r w:rsidR="007D5427" w:rsidRPr="00612EC5">
        <w:t xml:space="preserve">is similar to the ontogeny of activity in single well </w:t>
      </w:r>
      <w:proofErr w:type="spellStart"/>
      <w:r w:rsidR="007D5427" w:rsidRPr="00612EC5">
        <w:t>MEA</w:t>
      </w:r>
      <w:r w:rsidR="007D5427" w:rsidRPr="00C1704B">
        <w:t>s.</w:t>
      </w:r>
      <w:proofErr w:type="spellEnd"/>
      <w:r w:rsidR="007D5427" w:rsidRPr="00C1704B">
        <w:t xml:space="preserve"> </w:t>
      </w:r>
      <w:r w:rsidR="00416477" w:rsidRPr="00C1704B">
        <w:t>Furthermore,</w:t>
      </w:r>
      <w:ins w:id="31" w:author="Shafer, Timothy" w:date="2015-09-03T11:44:00Z">
        <w:r w:rsidR="00F23280">
          <w:t xml:space="preserve"> these results demonstrate that by considering multiple parameters of network firing, bursting and synchrony properties,</w:t>
        </w:r>
      </w:ins>
      <w:r w:rsidR="00416477" w:rsidRPr="00C1704B">
        <w:t xml:space="preserve"> </w:t>
      </w:r>
      <w:r w:rsidR="007D5427" w:rsidRPr="00C1704B">
        <w:t>principle components analysis and classification methods can be used as reliable predictors of network age</w:t>
      </w:r>
      <w:ins w:id="32" w:author="Shafer, Timothy" w:date="2015-09-03T11:58:00Z">
        <w:r w:rsidR="005E6F81">
          <w:t xml:space="preserve"> at both the plate and well levels</w:t>
        </w:r>
      </w:ins>
      <w:r w:rsidR="007D5427" w:rsidRPr="00C1704B">
        <w:t>.</w:t>
      </w:r>
      <w:r w:rsidR="00416477" w:rsidRPr="00EF7A71">
        <w:t xml:space="preserve"> </w:t>
      </w:r>
      <w:r w:rsidR="007D5427" w:rsidRPr="00EF7A71">
        <w:t xml:space="preserve">These results demonstrate the neural network ontogeny on </w:t>
      </w:r>
      <w:proofErr w:type="spellStart"/>
      <w:r w:rsidR="007D5427" w:rsidRPr="00EF7A71">
        <w:t>mwMEAs</w:t>
      </w:r>
      <w:proofErr w:type="spellEnd"/>
      <w:r w:rsidR="007D5427" w:rsidRPr="00EF7A71">
        <w:t xml:space="preserve"> offers, relative to single well systems, a high-throughput approach to study network development and its perturbation by drugs, chemicals and disease.</w:t>
      </w:r>
    </w:p>
    <w:p w14:paraId="5E493483" w14:textId="57A424B1" w:rsidR="007D5427" w:rsidRPr="00E06617" w:rsidRDefault="007D5427" w:rsidP="00612EC5">
      <w:pPr>
        <w:spacing w:line="480" w:lineRule="auto"/>
      </w:pPr>
      <w:r w:rsidRPr="00E06617">
        <w:t>Previous studies of cortical</w:t>
      </w:r>
      <w:r w:rsidR="0048561B" w:rsidRPr="00E06617">
        <w:t xml:space="preserve"> and hippocampal</w:t>
      </w:r>
      <w:r w:rsidRPr="00E06617">
        <w:t xml:space="preserve"> network ontogeny have demonstrated that activity begins with random, single spiking activity on a single or few channels, and over a period of 2-3 weeks in vitro progresses to bursting activity which becomes more synchronous with time </w:t>
      </w:r>
      <w:r w:rsidR="0048561B" w:rsidRPr="00E06617">
        <w:t xml:space="preserve">(van Pelt et al., 2005; </w:t>
      </w:r>
      <w:proofErr w:type="spellStart"/>
      <w:r w:rsidR="0048561B" w:rsidRPr="00E06617">
        <w:t>Wagenaar</w:t>
      </w:r>
      <w:proofErr w:type="spellEnd"/>
      <w:r w:rsidR="0048561B" w:rsidRPr="00E06617">
        <w:t xml:space="preserve"> et al., 2006; </w:t>
      </w:r>
      <w:proofErr w:type="spellStart"/>
      <w:r w:rsidR="0048561B" w:rsidRPr="00E06617">
        <w:t>Chiappalone</w:t>
      </w:r>
      <w:proofErr w:type="spellEnd"/>
      <w:r w:rsidR="0048561B" w:rsidRPr="00E06617">
        <w:t xml:space="preserve"> et al., 2006; </w:t>
      </w:r>
      <w:proofErr w:type="spellStart"/>
      <w:r w:rsidR="0048561B" w:rsidRPr="00E06617">
        <w:t>Illes</w:t>
      </w:r>
      <w:proofErr w:type="spellEnd"/>
      <w:r w:rsidR="0048561B" w:rsidRPr="00E06617">
        <w:t xml:space="preserve"> et al., 2007; </w:t>
      </w:r>
      <w:proofErr w:type="spellStart"/>
      <w:r w:rsidR="0048561B" w:rsidRPr="00E06617">
        <w:t>Biffi</w:t>
      </w:r>
      <w:proofErr w:type="spellEnd"/>
      <w:r w:rsidR="0048561B" w:rsidRPr="00E06617">
        <w:t xml:space="preserve"> et al., 2013). This is accompanied over time </w:t>
      </w:r>
      <w:r w:rsidR="002E49C8" w:rsidRPr="00E06617">
        <w:t>by</w:t>
      </w:r>
      <w:r w:rsidR="0048561B" w:rsidRPr="00E06617">
        <w:t xml:space="preserve"> the emergence of network bursts. We observed a similar ontogeny of activity in the present experiments; however, similar to previous data with this culture model (Robinette et al., 2011), the ontogeny of spiking and bursting activity occurred rapidly within the first two weeks in vitro, specifically between DIV 5 and 12 in the present study.  One reason underlying the </w:t>
      </w:r>
      <w:r w:rsidR="0048561B" w:rsidRPr="00E06617">
        <w:lastRenderedPageBreak/>
        <w:t>relatively more rapid ontogeny of activity in the present experiments may be the use of a culture made from early postnatal (0-24hr) rats, as opposed to other reports where embryonic (E14-E18) preparations were utilized. Another factor that may contribute to the rate of the ontogeny of activity may be the use of relatively higher culture densities, which has been shown to influence the rate and patterns of ontogeny of neural networks (</w:t>
      </w:r>
      <w:proofErr w:type="spellStart"/>
      <w:r w:rsidR="0048561B" w:rsidRPr="00E06617">
        <w:t>Wagenaar</w:t>
      </w:r>
      <w:proofErr w:type="spellEnd"/>
      <w:r w:rsidR="0048561B" w:rsidRPr="00E06617">
        <w:t xml:space="preserve"> et al., 2006;</w:t>
      </w:r>
      <w:r w:rsidR="006A2F76" w:rsidRPr="00E06617">
        <w:t xml:space="preserve"> </w:t>
      </w:r>
      <w:proofErr w:type="spellStart"/>
      <w:r w:rsidR="006A2F76" w:rsidRPr="00E06617">
        <w:t>Biffi</w:t>
      </w:r>
      <w:proofErr w:type="spellEnd"/>
      <w:r w:rsidR="006A2F76" w:rsidRPr="00E06617">
        <w:t xml:space="preserve"> et al., 2013). </w:t>
      </w:r>
      <w:r w:rsidR="002E49C8" w:rsidRPr="00E06617">
        <w:t xml:space="preserve">In any event, the ontogeny of activity in networks cultured on </w:t>
      </w:r>
      <w:proofErr w:type="spellStart"/>
      <w:r w:rsidR="002E49C8" w:rsidRPr="00E06617">
        <w:t>mwMEA</w:t>
      </w:r>
      <w:proofErr w:type="spellEnd"/>
      <w:r w:rsidR="002E49C8" w:rsidRPr="00E06617">
        <w:t xml:space="preserve"> plates was qualitatively similar to that on single well plates (as expected). Furthermore, it appears that this network ontogeny can be</w:t>
      </w:r>
      <w:r w:rsidR="00675BB0">
        <w:t xml:space="preserve"> reliably predicted by using as few as 3 wells/plate</w:t>
      </w:r>
      <w:r w:rsidR="001D7E83" w:rsidRPr="00E06617">
        <w:t>.</w:t>
      </w:r>
    </w:p>
    <w:p w14:paraId="628B7A67" w14:textId="58698ECF" w:rsidR="001D7E83" w:rsidRPr="00E06617" w:rsidRDefault="00115819" w:rsidP="00612EC5">
      <w:pPr>
        <w:spacing w:line="480" w:lineRule="auto"/>
      </w:pPr>
      <w:r w:rsidRPr="00E06617">
        <w:t>The use of classification techniques such as RFA and SVM</w:t>
      </w:r>
      <w:r w:rsidR="000D37B7">
        <w:t>s</w:t>
      </w:r>
      <w:r w:rsidRPr="00E06617">
        <w:t xml:space="preserve"> indicated that the parameters extracted from the spike trains in these experiments could be used to </w:t>
      </w:r>
      <w:del w:id="33" w:author="Shafer, Timothy" w:date="2015-09-03T12:00:00Z">
        <w:r w:rsidRPr="00E06617" w:rsidDel="005E6F81">
          <w:delText xml:space="preserve">reliably </w:delText>
        </w:r>
      </w:del>
      <w:r w:rsidRPr="00E06617">
        <w:t xml:space="preserve">predict </w:t>
      </w:r>
      <w:ins w:id="34" w:author="Shafer, Timothy" w:date="2015-09-03T12:00:00Z">
        <w:r w:rsidR="005E6F81" w:rsidRPr="00E06617">
          <w:t xml:space="preserve">reliably </w:t>
        </w:r>
      </w:ins>
      <w:r w:rsidRPr="00E06617">
        <w:t>the age of the culture from which data were obtained. While the models performed best when all of the parameters were used to aid classification, several parameters had greater influence on the ability to predict culture age. These included the CV of within burst ISI, the CV of the IBI, mean burst duration, network spike rate and burst rate</w:t>
      </w:r>
      <w:r w:rsidR="00367AD8" w:rsidRPr="00E06617">
        <w:t>.</w:t>
      </w:r>
      <w:r w:rsidR="00675BB0">
        <w:t xml:space="preserve"> When these approaches were used to predict between two different ages,</w:t>
      </w:r>
      <w:ins w:id="35" w:author="Shafer, Timothy" w:date="2015-09-03T12:01:00Z">
        <w:r w:rsidR="005E6F81">
          <w:t xml:space="preserve"> use of all of the parameters resulted in greater accuracy regardless of age. This indicates that using multiple parameters will provide more robust discrimination of different ages (or perhaps treatments) than relying on a single or a few parameters.</w:t>
        </w:r>
      </w:ins>
      <w:r w:rsidR="00675BB0">
        <w:t xml:space="preserve"> </w:t>
      </w:r>
      <w:del w:id="36" w:author="Shafer, Timothy" w:date="2015-09-03T12:03:00Z">
        <w:r w:rsidR="00675BB0" w:rsidDel="005E6F81">
          <w:delText>t</w:delText>
        </w:r>
      </w:del>
      <w:ins w:id="37" w:author="Shafer, Timothy" w:date="2015-09-03T12:03:00Z">
        <w:r w:rsidR="005E6F81">
          <w:t>T</w:t>
        </w:r>
      </w:ins>
      <w:r w:rsidR="00675BB0">
        <w:t xml:space="preserve">he greatest accuracy was achieved when predicting between larger age differences (e.g. DIV 5 </w:t>
      </w:r>
      <w:proofErr w:type="spellStart"/>
      <w:r w:rsidR="00675BB0">
        <w:t>vs</w:t>
      </w:r>
      <w:proofErr w:type="spellEnd"/>
      <w:r w:rsidR="00675BB0">
        <w:t xml:space="preserve"> 12)</w:t>
      </w:r>
      <w:ins w:id="38" w:author="Shafer, Timothy" w:date="2015-09-03T12:04:00Z">
        <w:r w:rsidR="005E6F81">
          <w:t xml:space="preserve"> and likely reflects </w:t>
        </w:r>
      </w:ins>
      <w:del w:id="39" w:author="Shafer, Timothy" w:date="2015-09-03T12:04:00Z">
        <w:r w:rsidR="00675BB0" w:rsidDel="005E6F81">
          <w:delText xml:space="preserve">. This may be due to </w:delText>
        </w:r>
      </w:del>
      <w:r w:rsidR="00675BB0">
        <w:t xml:space="preserve">the relative lack of bursts, network spikes and correlated activity in DIV 5 cultures. </w:t>
      </w:r>
      <w:r w:rsidR="007114B3">
        <w:t xml:space="preserve">This </w:t>
      </w:r>
      <w:del w:id="40" w:author="Shafer, Timothy" w:date="2015-09-03T12:05:00Z">
        <w:r w:rsidR="007114B3" w:rsidDel="005E6F81">
          <w:delText>likely reflects</w:delText>
        </w:r>
      </w:del>
      <w:ins w:id="41" w:author="Shafer, Timothy" w:date="2015-09-03T12:05:00Z">
        <w:r w:rsidR="005E6F81">
          <w:t>is consistent with</w:t>
        </w:r>
      </w:ins>
      <w:r w:rsidR="007114B3">
        <w:t xml:space="preserve"> the relative lack of connectivity in DIV 5 cultures, as synaptogenesis in this model begins around DIV </w:t>
      </w:r>
      <w:r w:rsidR="0096439B">
        <w:t>6</w:t>
      </w:r>
      <w:r w:rsidR="007114B3">
        <w:t xml:space="preserve"> (</w:t>
      </w:r>
      <w:r w:rsidR="0096439B">
        <w:t xml:space="preserve">which is </w:t>
      </w:r>
      <w:r w:rsidR="007114B3">
        <w:t xml:space="preserve">reflected by increases in </w:t>
      </w:r>
      <w:r w:rsidR="0096439B">
        <w:t>electrophysiological</w:t>
      </w:r>
      <w:r w:rsidR="007114B3">
        <w:t xml:space="preserve"> </w:t>
      </w:r>
      <w:r w:rsidR="007114B3">
        <w:lastRenderedPageBreak/>
        <w:t>parameters</w:t>
      </w:r>
      <w:r w:rsidR="0096439B">
        <w:t xml:space="preserve"> on DIV 7</w:t>
      </w:r>
      <w:r w:rsidR="007114B3">
        <w:t>) and continues through DIV 12 (</w:t>
      </w:r>
      <w:proofErr w:type="spellStart"/>
      <w:r w:rsidR="007114B3">
        <w:t>Harrill</w:t>
      </w:r>
      <w:proofErr w:type="spellEnd"/>
      <w:r w:rsidR="007114B3">
        <w:t xml:space="preserve"> et al., 2011).</w:t>
      </w:r>
      <w:r w:rsidR="0096439B">
        <w:t xml:space="preserve"> Thus, the </w:t>
      </w:r>
      <w:proofErr w:type="gramStart"/>
      <w:r w:rsidR="0096439B">
        <w:t>development of electrophysiological parameters reflecting connectivity (bursts, network spikes and correlated activity) correspond</w:t>
      </w:r>
      <w:proofErr w:type="gramEnd"/>
      <w:r w:rsidR="0096439B">
        <w:t xml:space="preserve"> well to the development of morphological synapse formation.</w:t>
      </w:r>
    </w:p>
    <w:p w14:paraId="176E2301" w14:textId="77777777" w:rsidR="00BA2313" w:rsidRPr="00E06617" w:rsidRDefault="00BA2313" w:rsidP="00612EC5">
      <w:pPr>
        <w:spacing w:line="480" w:lineRule="auto"/>
      </w:pPr>
    </w:p>
    <w:p w14:paraId="0599D86E" w14:textId="77777777" w:rsidR="00A73944" w:rsidRDefault="0096439B" w:rsidP="00612EC5">
      <w:pPr>
        <w:spacing w:line="480" w:lineRule="auto"/>
      </w:pPr>
      <w:r>
        <w:t xml:space="preserve">The present analysis has implications for using </w:t>
      </w:r>
      <w:proofErr w:type="spellStart"/>
      <w:r>
        <w:t>mwMEAs</w:t>
      </w:r>
      <w:proofErr w:type="spellEnd"/>
      <w:r>
        <w:t xml:space="preserve"> for drug development or chemical developmental neurotoxicity screening. Both classification approaches used here provided higher accuracy by including more features. Traditionally, MFR has been widely utilized to describe drug- or chemical-induced alterations in network function (REFS) as it is easily extracted from the data. However, when possible, determining more features and using them collectively rather than focusing on one or a few features may provide greater sensitivity in detecting effects, as well as possibly facilitating drug or chemical “fingerprinting” approaches (Mack et al., 2014).</w:t>
      </w:r>
      <w:r w:rsidR="006D3651">
        <w:t xml:space="preserve"> In addition, the classification approaches used here indicate that age of a network can be reliably determined using 3-8 wells from a single p</w:t>
      </w:r>
      <w:r w:rsidR="00AF5D8E">
        <w:t xml:space="preserve">late, indicating that between 6 and </w:t>
      </w:r>
      <w:r w:rsidR="006D3651">
        <w:t xml:space="preserve">16 different treatment conditions might be possible </w:t>
      </w:r>
      <w:r w:rsidR="00AF5D8E">
        <w:t xml:space="preserve">on a given 48 well </w:t>
      </w:r>
      <w:proofErr w:type="spellStart"/>
      <w:r w:rsidR="00AF5D8E">
        <w:t>mwMEA</w:t>
      </w:r>
      <w:proofErr w:type="spellEnd"/>
      <w:r w:rsidR="00AF5D8E">
        <w:t xml:space="preserve"> plate. </w:t>
      </w:r>
    </w:p>
    <w:p w14:paraId="6E27AC02" w14:textId="77777777" w:rsidR="00A73944" w:rsidRDefault="00A73944" w:rsidP="00612EC5">
      <w:pPr>
        <w:spacing w:line="480" w:lineRule="auto"/>
      </w:pPr>
    </w:p>
    <w:p w14:paraId="4FE2FA86" w14:textId="130AB957" w:rsidR="0096439B" w:rsidRDefault="00A73944" w:rsidP="00612EC5">
      <w:pPr>
        <w:spacing w:line="480" w:lineRule="auto"/>
      </w:pPr>
      <w:r>
        <w:t xml:space="preserve">One factor that influences results from MEAs is the </w:t>
      </w:r>
      <w:proofErr w:type="gramStart"/>
      <w:r>
        <w:t>culture to culture</w:t>
      </w:r>
      <w:proofErr w:type="gramEnd"/>
      <w:r>
        <w:t xml:space="preserve"> variability. Although this was not specifically addressed in the present studies (typically only 1 plate was available from a given culture), evidence from another data set wherein three plates each were analyzed from several different cultures indicated that </w:t>
      </w:r>
      <w:proofErr w:type="gramStart"/>
      <w:r>
        <w:t>culture to culture</w:t>
      </w:r>
      <w:proofErr w:type="gramEnd"/>
      <w:r>
        <w:t xml:space="preserve"> variability is much greater than plate to plate variability (unpublished data). Thus, obtaining replicate </w:t>
      </w:r>
      <w:r>
        <w:lastRenderedPageBreak/>
        <w:t xml:space="preserve">values for different treatments (e.g. concentrations of a drug or chemical) across several different wells and plates from the same culture (e.g. see supplemental material in Wallace et al., 2015) may be preferable to obtaining replicate values across several different cultures. It is likely that the use of a primary culture model does contribute to the </w:t>
      </w:r>
      <w:proofErr w:type="gramStart"/>
      <w:r>
        <w:t>culture to culture</w:t>
      </w:r>
      <w:proofErr w:type="gramEnd"/>
      <w:r>
        <w:t xml:space="preserve"> differences, as each culture is prepared from different animals. </w:t>
      </w:r>
      <w:r w:rsidR="00041A35">
        <w:t>This may in the future be improved by the use of stem cell derived models, which should be more homogeneous.</w:t>
      </w:r>
    </w:p>
    <w:p w14:paraId="62C5F6FB" w14:textId="0D238358" w:rsidR="00855239" w:rsidRPr="00E06617" w:rsidRDefault="005B2F3E" w:rsidP="008B0AC9">
      <w:pPr>
        <w:spacing w:line="480" w:lineRule="auto"/>
      </w:pPr>
      <w:r>
        <w:t xml:space="preserve">In conclusion, we have described the development of neural networks grown in 48 well </w:t>
      </w:r>
      <w:proofErr w:type="spellStart"/>
      <w:r>
        <w:t>mwMEA</w:t>
      </w:r>
      <w:proofErr w:type="spellEnd"/>
      <w:r>
        <w:t xml:space="preserve"> plates and found that it is qualitatively equivalent to development of network activity in single well </w:t>
      </w:r>
      <w:proofErr w:type="spellStart"/>
      <w:r>
        <w:t>MEAs.</w:t>
      </w:r>
      <w:proofErr w:type="spellEnd"/>
      <w:r>
        <w:t xml:space="preserve"> Furthermore, multi-parametric evaluation of the network activity parameters provides an accurate method of classifying networks by different ages. Together, these results indicate that neural networks cultured on </w:t>
      </w:r>
      <w:proofErr w:type="spellStart"/>
      <w:r>
        <w:t>mwMEAs</w:t>
      </w:r>
      <w:proofErr w:type="spellEnd"/>
      <w:r>
        <w:t xml:space="preserve"> will be a useful tool to study the ontogeny of network activity as well as the potential for drugs, chemicals and diseases to disrupt that activity.</w:t>
      </w:r>
    </w:p>
    <w:p w14:paraId="3BA56FFC" w14:textId="462A795E" w:rsidR="00855239" w:rsidRPr="00612EC5" w:rsidRDefault="00855239" w:rsidP="00855239">
      <w:pPr>
        <w:pStyle w:val="Heading2"/>
        <w:rPr>
          <w:rFonts w:asciiTheme="minorHAnsi" w:hAnsiTheme="minorHAnsi"/>
          <w:sz w:val="24"/>
          <w:szCs w:val="24"/>
        </w:rPr>
      </w:pPr>
      <w:r w:rsidRPr="00612EC5">
        <w:rPr>
          <w:rFonts w:asciiTheme="minorHAnsi" w:hAnsiTheme="minorHAnsi"/>
          <w:sz w:val="24"/>
          <w:szCs w:val="24"/>
        </w:rPr>
        <w:t>References</w:t>
      </w:r>
    </w:p>
    <w:p w14:paraId="27EAB0F1" w14:textId="77777777" w:rsidR="00257290" w:rsidRPr="00E06617" w:rsidRDefault="00257290" w:rsidP="00294423"/>
    <w:p w14:paraId="7192E716" w14:textId="558366FA" w:rsidR="00257290" w:rsidRPr="00C1704B" w:rsidRDefault="00257290" w:rsidP="00294423">
      <w:r w:rsidRPr="00612EC5">
        <w:t xml:space="preserve">[SJE will manage references in </w:t>
      </w:r>
      <w:proofErr w:type="spellStart"/>
      <w:r w:rsidRPr="00612EC5">
        <w:t>paperpile</w:t>
      </w:r>
      <w:proofErr w:type="spellEnd"/>
      <w:r w:rsidRPr="00612EC5">
        <w:t>; so if you wish to add a reference, just add it in bold just below this line and I will</w:t>
      </w:r>
      <w:r w:rsidRPr="00C1704B">
        <w:t xml:space="preserve"> add it.]</w:t>
      </w:r>
    </w:p>
    <w:p w14:paraId="148F88BC" w14:textId="1DA78F12" w:rsidR="00A1581A" w:rsidRDefault="00A1581A" w:rsidP="00294423">
      <w:pPr>
        <w:rPr>
          <w:b/>
        </w:rPr>
      </w:pPr>
      <w:proofErr w:type="spellStart"/>
      <w:r>
        <w:rPr>
          <w:b/>
        </w:rPr>
        <w:t>Biffi</w:t>
      </w:r>
      <w:proofErr w:type="spellEnd"/>
      <w:r>
        <w:rPr>
          <w:b/>
        </w:rPr>
        <w:t xml:space="preserve"> E, Regalia G, </w:t>
      </w:r>
      <w:proofErr w:type="spellStart"/>
      <w:r>
        <w:rPr>
          <w:b/>
        </w:rPr>
        <w:t>Menegon</w:t>
      </w:r>
      <w:proofErr w:type="spellEnd"/>
      <w:r>
        <w:rPr>
          <w:b/>
        </w:rPr>
        <w:t xml:space="preserve"> A, </w:t>
      </w:r>
      <w:proofErr w:type="spellStart"/>
      <w:r>
        <w:rPr>
          <w:b/>
        </w:rPr>
        <w:t>Ferrigno</w:t>
      </w:r>
      <w:proofErr w:type="spellEnd"/>
      <w:r>
        <w:rPr>
          <w:b/>
        </w:rPr>
        <w:t xml:space="preserve"> G, </w:t>
      </w:r>
      <w:proofErr w:type="spellStart"/>
      <w:r>
        <w:rPr>
          <w:b/>
        </w:rPr>
        <w:t>Pedrocchi</w:t>
      </w:r>
      <w:proofErr w:type="spellEnd"/>
      <w:r>
        <w:rPr>
          <w:b/>
        </w:rPr>
        <w:t xml:space="preserve"> A. The influence of neuronal density and maturation on network activity of hippocampal cell cultures: a methodological study. PLOS ONE, 8(12), e83899, 2013.</w:t>
      </w:r>
    </w:p>
    <w:p w14:paraId="617D4406" w14:textId="68FCA854" w:rsidR="00A1581A" w:rsidRDefault="00A1581A" w:rsidP="00294423">
      <w:pPr>
        <w:rPr>
          <w:b/>
        </w:rPr>
      </w:pPr>
      <w:proofErr w:type="spellStart"/>
      <w:r>
        <w:rPr>
          <w:b/>
        </w:rPr>
        <w:t>Chiappalone</w:t>
      </w:r>
      <w:proofErr w:type="spellEnd"/>
      <w:r>
        <w:rPr>
          <w:b/>
        </w:rPr>
        <w:t xml:space="preserve"> M, </w:t>
      </w:r>
      <w:proofErr w:type="spellStart"/>
      <w:r>
        <w:rPr>
          <w:b/>
        </w:rPr>
        <w:t>Bove</w:t>
      </w:r>
      <w:proofErr w:type="spellEnd"/>
      <w:r>
        <w:rPr>
          <w:b/>
        </w:rPr>
        <w:t xml:space="preserve"> M, </w:t>
      </w:r>
      <w:proofErr w:type="spellStart"/>
      <w:r>
        <w:rPr>
          <w:b/>
        </w:rPr>
        <w:t>Vato</w:t>
      </w:r>
      <w:proofErr w:type="spellEnd"/>
      <w:r>
        <w:rPr>
          <w:b/>
        </w:rPr>
        <w:t xml:space="preserve"> A, Tedesco M, </w:t>
      </w:r>
      <w:proofErr w:type="spellStart"/>
      <w:r>
        <w:rPr>
          <w:b/>
        </w:rPr>
        <w:t>Martinoia</w:t>
      </w:r>
      <w:proofErr w:type="spellEnd"/>
      <w:r>
        <w:rPr>
          <w:b/>
        </w:rPr>
        <w:t xml:space="preserve"> S. Dissociated cortical networks show spontaneously correlated activity patterns during in vitro development. </w:t>
      </w:r>
      <w:proofErr w:type="gramStart"/>
      <w:r>
        <w:rPr>
          <w:b/>
        </w:rPr>
        <w:t>Brain Res. 1093, 41-53, 2006.</w:t>
      </w:r>
      <w:proofErr w:type="gramEnd"/>
    </w:p>
    <w:p w14:paraId="402866CD" w14:textId="30FC48F0" w:rsidR="00A1581A" w:rsidRDefault="00A1581A" w:rsidP="00294423">
      <w:pPr>
        <w:rPr>
          <w:b/>
        </w:rPr>
      </w:pPr>
      <w:proofErr w:type="spellStart"/>
      <w:r>
        <w:rPr>
          <w:b/>
        </w:rPr>
        <w:t>Harrill</w:t>
      </w:r>
      <w:proofErr w:type="spellEnd"/>
      <w:r>
        <w:rPr>
          <w:b/>
        </w:rPr>
        <w:t xml:space="preserve"> JA, </w:t>
      </w:r>
      <w:r w:rsidRPr="00A1581A">
        <w:rPr>
          <w:b/>
        </w:rPr>
        <w:t xml:space="preserve">Robinette BL, </w:t>
      </w:r>
      <w:proofErr w:type="spellStart"/>
      <w:r w:rsidRPr="00A1581A">
        <w:rPr>
          <w:b/>
        </w:rPr>
        <w:t>Freudenrich</w:t>
      </w:r>
      <w:proofErr w:type="spellEnd"/>
      <w:r w:rsidRPr="00A1581A">
        <w:rPr>
          <w:b/>
        </w:rPr>
        <w:t xml:space="preserve"> TM, Mundy WR</w:t>
      </w:r>
      <w:r>
        <w:rPr>
          <w:b/>
        </w:rPr>
        <w:t xml:space="preserve">. </w:t>
      </w:r>
      <w:r w:rsidRPr="00A1581A">
        <w:rPr>
          <w:b/>
        </w:rPr>
        <w:t>Media formulation influences chemical effects on neuronal growth and morphology.</w:t>
      </w:r>
      <w:r>
        <w:rPr>
          <w:b/>
        </w:rPr>
        <w:t xml:space="preserve"> </w:t>
      </w:r>
      <w:r w:rsidRPr="00A1581A">
        <w:rPr>
          <w:b/>
        </w:rPr>
        <w:t>In Vit</w:t>
      </w:r>
      <w:r>
        <w:rPr>
          <w:b/>
        </w:rPr>
        <w:t xml:space="preserve">ro Cell </w:t>
      </w:r>
      <w:proofErr w:type="spellStart"/>
      <w:r>
        <w:rPr>
          <w:b/>
        </w:rPr>
        <w:t>Dev</w:t>
      </w:r>
      <w:proofErr w:type="spellEnd"/>
      <w:r>
        <w:rPr>
          <w:b/>
        </w:rPr>
        <w:t xml:space="preserve"> </w:t>
      </w:r>
      <w:proofErr w:type="spellStart"/>
      <w:r>
        <w:rPr>
          <w:b/>
        </w:rPr>
        <w:t>Biol</w:t>
      </w:r>
      <w:proofErr w:type="spellEnd"/>
      <w:r>
        <w:rPr>
          <w:b/>
        </w:rPr>
        <w:t xml:space="preserve"> Anim. </w:t>
      </w:r>
      <w:r w:rsidRPr="00A1581A">
        <w:rPr>
          <w:b/>
        </w:rPr>
        <w:t>51</w:t>
      </w:r>
      <w:r>
        <w:rPr>
          <w:b/>
        </w:rPr>
        <w:t xml:space="preserve">, </w:t>
      </w:r>
      <w:r w:rsidRPr="00A1581A">
        <w:rPr>
          <w:b/>
        </w:rPr>
        <w:t>612-29</w:t>
      </w:r>
      <w:r>
        <w:rPr>
          <w:b/>
        </w:rPr>
        <w:t>.</w:t>
      </w:r>
      <w:r w:rsidRPr="00A1581A">
        <w:rPr>
          <w:b/>
        </w:rPr>
        <w:t xml:space="preserve"> </w:t>
      </w:r>
      <w:r>
        <w:rPr>
          <w:b/>
        </w:rPr>
        <w:t>2015.</w:t>
      </w:r>
    </w:p>
    <w:p w14:paraId="166B87CF" w14:textId="03E85160" w:rsidR="005A18B2" w:rsidRDefault="005A18B2" w:rsidP="00294423">
      <w:pPr>
        <w:rPr>
          <w:b/>
        </w:rPr>
      </w:pPr>
      <w:proofErr w:type="spellStart"/>
      <w:r>
        <w:rPr>
          <w:b/>
        </w:rPr>
        <w:lastRenderedPageBreak/>
        <w:t>Hogberg</w:t>
      </w:r>
      <w:proofErr w:type="spellEnd"/>
      <w:r>
        <w:rPr>
          <w:b/>
        </w:rPr>
        <w:t xml:space="preserve"> HT, </w:t>
      </w:r>
      <w:proofErr w:type="spellStart"/>
      <w:r>
        <w:rPr>
          <w:b/>
        </w:rPr>
        <w:t>Sobanski</w:t>
      </w:r>
      <w:proofErr w:type="spellEnd"/>
      <w:r>
        <w:rPr>
          <w:b/>
        </w:rPr>
        <w:t xml:space="preserve"> T, </w:t>
      </w:r>
      <w:proofErr w:type="spellStart"/>
      <w:r>
        <w:rPr>
          <w:b/>
        </w:rPr>
        <w:t>Novellino</w:t>
      </w:r>
      <w:proofErr w:type="spellEnd"/>
      <w:r>
        <w:rPr>
          <w:b/>
        </w:rPr>
        <w:t xml:space="preserve"> A, Whelan M, Weiss DG, </w:t>
      </w:r>
      <w:proofErr w:type="spellStart"/>
      <w:r>
        <w:rPr>
          <w:b/>
        </w:rPr>
        <w:t>Bal</w:t>
      </w:r>
      <w:proofErr w:type="spellEnd"/>
      <w:r>
        <w:rPr>
          <w:b/>
        </w:rPr>
        <w:t xml:space="preserve">-Price AK. Application of </w:t>
      </w:r>
      <w:proofErr w:type="gramStart"/>
      <w:r>
        <w:rPr>
          <w:b/>
        </w:rPr>
        <w:t>micro-electrode</w:t>
      </w:r>
      <w:proofErr w:type="gramEnd"/>
      <w:r>
        <w:rPr>
          <w:b/>
        </w:rPr>
        <w:t xml:space="preserve"> arrays (MEAs) as an emerging technology for developmental neurotoxicity: evaluation of </w:t>
      </w:r>
      <w:proofErr w:type="spellStart"/>
      <w:r>
        <w:rPr>
          <w:b/>
        </w:rPr>
        <w:t>domoic</w:t>
      </w:r>
      <w:proofErr w:type="spellEnd"/>
      <w:r>
        <w:rPr>
          <w:b/>
        </w:rPr>
        <w:t xml:space="preserve"> acid-induced effects in primary cultures of rat cortical neurons. </w:t>
      </w:r>
      <w:proofErr w:type="spellStart"/>
      <w:proofErr w:type="gramStart"/>
      <w:r>
        <w:rPr>
          <w:b/>
        </w:rPr>
        <w:t>Neurotoxicology</w:t>
      </w:r>
      <w:proofErr w:type="spellEnd"/>
      <w:r>
        <w:rPr>
          <w:b/>
        </w:rPr>
        <w:t xml:space="preserve"> 32, 158-68.</w:t>
      </w:r>
      <w:proofErr w:type="gramEnd"/>
      <w:r>
        <w:rPr>
          <w:b/>
        </w:rPr>
        <w:t xml:space="preserve"> 2011.</w:t>
      </w:r>
    </w:p>
    <w:p w14:paraId="303F3530" w14:textId="78187EC6" w:rsidR="005A18B2" w:rsidRDefault="005A18B2" w:rsidP="00294423">
      <w:pPr>
        <w:rPr>
          <w:b/>
        </w:rPr>
      </w:pPr>
      <w:proofErr w:type="spellStart"/>
      <w:r>
        <w:rPr>
          <w:b/>
        </w:rPr>
        <w:t>Illes</w:t>
      </w:r>
      <w:proofErr w:type="spellEnd"/>
      <w:r>
        <w:rPr>
          <w:b/>
        </w:rPr>
        <w:t xml:space="preserve"> S, Fleischer, W, </w:t>
      </w:r>
      <w:proofErr w:type="spellStart"/>
      <w:r>
        <w:rPr>
          <w:b/>
        </w:rPr>
        <w:t>Siebler</w:t>
      </w:r>
      <w:proofErr w:type="spellEnd"/>
      <w:r>
        <w:rPr>
          <w:b/>
        </w:rPr>
        <w:t xml:space="preserve"> M, </w:t>
      </w:r>
      <w:proofErr w:type="spellStart"/>
      <w:r>
        <w:rPr>
          <w:b/>
        </w:rPr>
        <w:t>Hartung</w:t>
      </w:r>
      <w:proofErr w:type="spellEnd"/>
      <w:r>
        <w:rPr>
          <w:b/>
        </w:rPr>
        <w:t xml:space="preserve"> H-P, </w:t>
      </w:r>
      <w:proofErr w:type="spellStart"/>
      <w:r>
        <w:rPr>
          <w:b/>
        </w:rPr>
        <w:t>Dihné</w:t>
      </w:r>
      <w:proofErr w:type="spellEnd"/>
      <w:r>
        <w:rPr>
          <w:b/>
        </w:rPr>
        <w:t xml:space="preserve"> M. Development and pharmacological modulation of embryonic stem cell-derived neuronal network activity. </w:t>
      </w:r>
      <w:proofErr w:type="spellStart"/>
      <w:r>
        <w:rPr>
          <w:b/>
        </w:rPr>
        <w:t>Exp</w:t>
      </w:r>
      <w:proofErr w:type="spellEnd"/>
      <w:r>
        <w:rPr>
          <w:b/>
        </w:rPr>
        <w:t xml:space="preserve"> Neurol. 207, 171-6. 2007.</w:t>
      </w:r>
    </w:p>
    <w:p w14:paraId="2BB83985" w14:textId="3544913E" w:rsidR="00257290" w:rsidRDefault="006248C4" w:rsidP="00294423">
      <w:pPr>
        <w:rPr>
          <w:b/>
        </w:rPr>
      </w:pPr>
      <w:proofErr w:type="spellStart"/>
      <w:r w:rsidRPr="008B0AC9">
        <w:rPr>
          <w:b/>
        </w:rPr>
        <w:t>Johnstone</w:t>
      </w:r>
      <w:proofErr w:type="spellEnd"/>
      <w:r w:rsidRPr="008B0AC9">
        <w:rPr>
          <w:b/>
        </w:rPr>
        <w:t xml:space="preserve"> AFM, Gross GW, Weiss D, Schroeder O, and Shafer TJ. Use of microelectrode arrays for neurotoxicity testing in the 21st century. </w:t>
      </w:r>
      <w:proofErr w:type="spellStart"/>
      <w:proofErr w:type="gramStart"/>
      <w:r w:rsidRPr="008B0AC9">
        <w:rPr>
          <w:b/>
        </w:rPr>
        <w:t>Neurotoxicology</w:t>
      </w:r>
      <w:proofErr w:type="spellEnd"/>
      <w:r w:rsidRPr="008B0AC9">
        <w:rPr>
          <w:b/>
        </w:rPr>
        <w:t>, 31, 331-350, 2010.</w:t>
      </w:r>
      <w:proofErr w:type="gramEnd"/>
    </w:p>
    <w:p w14:paraId="5EC471D5" w14:textId="009BCEBB" w:rsidR="005A18B2" w:rsidRPr="008B0AC9" w:rsidRDefault="005A18B2" w:rsidP="00294423">
      <w:pPr>
        <w:rPr>
          <w:b/>
        </w:rPr>
      </w:pPr>
      <w:proofErr w:type="spellStart"/>
      <w:r>
        <w:rPr>
          <w:b/>
        </w:rPr>
        <w:t>Wagenaar</w:t>
      </w:r>
      <w:proofErr w:type="spellEnd"/>
      <w:r>
        <w:rPr>
          <w:b/>
        </w:rPr>
        <w:t xml:space="preserve"> DA, Pine J, Potter SM. </w:t>
      </w:r>
      <w:proofErr w:type="gramStart"/>
      <w:r>
        <w:rPr>
          <w:b/>
        </w:rPr>
        <w:t>An extremely rich repertoire of bursting patterns during the development of cortical cultures.</w:t>
      </w:r>
      <w:proofErr w:type="gramEnd"/>
      <w:r>
        <w:rPr>
          <w:b/>
        </w:rPr>
        <w:t xml:space="preserve"> </w:t>
      </w:r>
      <w:proofErr w:type="gramStart"/>
      <w:r>
        <w:rPr>
          <w:b/>
        </w:rPr>
        <w:t>BMC Neuroscience 2006, 7,11.</w:t>
      </w:r>
      <w:proofErr w:type="gramEnd"/>
    </w:p>
    <w:p w14:paraId="24550E3A" w14:textId="6677D504" w:rsidR="001F17E7" w:rsidRPr="00E06617" w:rsidRDefault="001F17E7" w:rsidP="00294423">
      <w:r w:rsidRPr="00E06617">
        <w:t>--</w:t>
      </w:r>
      <w:proofErr w:type="gramStart"/>
      <w:r w:rsidRPr="00E06617">
        <w:t>-  Do</w:t>
      </w:r>
      <w:proofErr w:type="gramEnd"/>
      <w:r w:rsidRPr="00E06617">
        <w:t xml:space="preserve"> not edit below! --</w:t>
      </w:r>
    </w:p>
    <w:p w14:paraId="12557E5D" w14:textId="77777777" w:rsidR="00023C8D" w:rsidRPr="00612EC5" w:rsidRDefault="00023C8D" w:rsidP="00023C8D">
      <w:pPr>
        <w:rPr>
          <w:rFonts w:cs="Times New Roman"/>
        </w:rPr>
      </w:pPr>
      <w:proofErr w:type="spellStart"/>
      <w:proofErr w:type="gramStart"/>
      <w:r w:rsidRPr="00612EC5">
        <w:rPr>
          <w:rFonts w:cs="Times New Roman"/>
        </w:rPr>
        <w:t>Buzsáki</w:t>
      </w:r>
      <w:proofErr w:type="spellEnd"/>
      <w:r w:rsidRPr="00612EC5">
        <w:rPr>
          <w:rFonts w:cs="Times New Roman"/>
        </w:rPr>
        <w:t xml:space="preserve"> G (2002) Theta oscillations in the hippocampus.</w:t>
      </w:r>
      <w:proofErr w:type="gramEnd"/>
      <w:r w:rsidRPr="00612EC5">
        <w:rPr>
          <w:rFonts w:cs="Times New Roman"/>
        </w:rPr>
        <w:t xml:space="preserve"> </w:t>
      </w:r>
      <w:proofErr w:type="gramStart"/>
      <w:r w:rsidRPr="00612EC5">
        <w:rPr>
          <w:rFonts w:cs="Times New Roman"/>
        </w:rPr>
        <w:t>Neuron 33:325–340.</w:t>
      </w:r>
      <w:proofErr w:type="gramEnd"/>
    </w:p>
    <w:p w14:paraId="74DD814F" w14:textId="77777777" w:rsidR="00023C8D" w:rsidRPr="00612EC5" w:rsidRDefault="00023C8D" w:rsidP="00023C8D">
      <w:pPr>
        <w:rPr>
          <w:rFonts w:cs="Times New Roman"/>
        </w:rPr>
      </w:pPr>
    </w:p>
    <w:p w14:paraId="70B6B77F" w14:textId="77777777" w:rsidR="00023C8D" w:rsidRPr="00612EC5" w:rsidRDefault="00023C8D" w:rsidP="00023C8D">
      <w:pPr>
        <w:rPr>
          <w:rFonts w:cs="Times New Roman"/>
        </w:rPr>
      </w:pPr>
      <w:proofErr w:type="spellStart"/>
      <w:r w:rsidRPr="00612EC5">
        <w:rPr>
          <w:rFonts w:cs="Times New Roman"/>
        </w:rPr>
        <w:t>Charlesworth</w:t>
      </w:r>
      <w:proofErr w:type="spellEnd"/>
      <w:r w:rsidRPr="00612EC5">
        <w:rPr>
          <w:rFonts w:cs="Times New Roman"/>
        </w:rPr>
        <w:t xml:space="preserve"> P, </w:t>
      </w:r>
      <w:proofErr w:type="spellStart"/>
      <w:r w:rsidRPr="00612EC5">
        <w:rPr>
          <w:rFonts w:cs="Times New Roman"/>
        </w:rPr>
        <w:t>Cotterill</w:t>
      </w:r>
      <w:proofErr w:type="spellEnd"/>
      <w:r w:rsidRPr="00612EC5">
        <w:rPr>
          <w:rFonts w:cs="Times New Roman"/>
        </w:rPr>
        <w:t xml:space="preserve"> E, Morton A, Grant SGN, Eglen SJ (2015) Quantitative differences in developmental profiles of spontaneous activity in cortical and hippocampal cultures. Neural </w:t>
      </w:r>
      <w:proofErr w:type="spellStart"/>
      <w:r w:rsidRPr="00612EC5">
        <w:rPr>
          <w:rFonts w:cs="Times New Roman"/>
        </w:rPr>
        <w:t>Dev</w:t>
      </w:r>
      <w:proofErr w:type="spellEnd"/>
      <w:r w:rsidRPr="00612EC5">
        <w:rPr>
          <w:rFonts w:cs="Times New Roman"/>
        </w:rPr>
        <w:t xml:space="preserve"> 10:1.</w:t>
      </w:r>
    </w:p>
    <w:p w14:paraId="2CAA7075" w14:textId="7E704669" w:rsidR="00023C8D" w:rsidRPr="00612EC5" w:rsidRDefault="00334856" w:rsidP="00612EC5">
      <w:pPr>
        <w:spacing w:before="0" w:after="0"/>
        <w:rPr>
          <w:rFonts w:cs="Times New Roman"/>
        </w:rPr>
      </w:pPr>
      <w:proofErr w:type="spellStart"/>
      <w:r w:rsidRPr="00612EC5">
        <w:rPr>
          <w:rFonts w:eastAsia="Times New Roman" w:cs="Times New Roman"/>
        </w:rPr>
        <w:t>Charlesworth</w:t>
      </w:r>
      <w:proofErr w:type="spellEnd"/>
      <w:r w:rsidRPr="00612EC5">
        <w:rPr>
          <w:rFonts w:eastAsia="Times New Roman" w:cs="Times New Roman"/>
        </w:rPr>
        <w:t xml:space="preserve"> P, Morton A, Eglen SJ, Komiyama NH, Grant SGN (2015) Canalization of genetic and pharmacological perturbations in developing primary neuronal activity patterns. Neuropharmacology Available at: http://dx.doi.org/10.1016/j.neuropharm.2015.07.027.</w:t>
      </w:r>
    </w:p>
    <w:p w14:paraId="21A912F2" w14:textId="77777777" w:rsidR="00023C8D" w:rsidRPr="00612EC5" w:rsidRDefault="00023C8D" w:rsidP="00023C8D">
      <w:pPr>
        <w:rPr>
          <w:rFonts w:cs="Times New Roman"/>
        </w:rPr>
      </w:pPr>
      <w:proofErr w:type="spellStart"/>
      <w:r w:rsidRPr="00612EC5">
        <w:rPr>
          <w:rFonts w:cs="Times New Roman"/>
        </w:rPr>
        <w:t>Cutts</w:t>
      </w:r>
      <w:proofErr w:type="spellEnd"/>
      <w:r w:rsidRPr="00612EC5">
        <w:rPr>
          <w:rFonts w:cs="Times New Roman"/>
        </w:rPr>
        <w:t xml:space="preserve"> CS, Eglen SJ (2014) Detecting Pairwise Correlations in Spike Trains: An Objective Comparison of Methods and Application to the Study of Retinal Waves. </w:t>
      </w:r>
      <w:proofErr w:type="gramStart"/>
      <w:r w:rsidRPr="00612EC5">
        <w:rPr>
          <w:rFonts w:cs="Times New Roman"/>
        </w:rPr>
        <w:t>Journal of Neuroscience 34:14288–14303.</w:t>
      </w:r>
      <w:proofErr w:type="gramEnd"/>
    </w:p>
    <w:p w14:paraId="6E488A9A" w14:textId="77777777" w:rsidR="00023C8D" w:rsidRPr="00612EC5" w:rsidRDefault="00023C8D" w:rsidP="00023C8D">
      <w:pPr>
        <w:rPr>
          <w:rFonts w:cs="Times New Roman"/>
        </w:rPr>
      </w:pPr>
    </w:p>
    <w:p w14:paraId="6FFA3B17" w14:textId="77777777" w:rsidR="00023C8D" w:rsidRPr="00612EC5" w:rsidRDefault="00023C8D" w:rsidP="00023C8D">
      <w:pPr>
        <w:rPr>
          <w:rFonts w:cs="Times New Roman"/>
        </w:rPr>
      </w:pPr>
      <w:r w:rsidRPr="00612EC5">
        <w:rPr>
          <w:rFonts w:cs="Times New Roman"/>
        </w:rPr>
        <w:t xml:space="preserve">Eglen SJ, Weeks M, Jessop M, </w:t>
      </w:r>
      <w:proofErr w:type="spellStart"/>
      <w:r w:rsidRPr="00612EC5">
        <w:rPr>
          <w:rFonts w:cs="Times New Roman"/>
        </w:rPr>
        <w:t>Simonotto</w:t>
      </w:r>
      <w:proofErr w:type="spellEnd"/>
      <w:r w:rsidRPr="00612EC5">
        <w:rPr>
          <w:rFonts w:cs="Times New Roman"/>
        </w:rPr>
        <w:t xml:space="preserve"> J, Jackson T, </w:t>
      </w:r>
      <w:proofErr w:type="spellStart"/>
      <w:r w:rsidRPr="00612EC5">
        <w:rPr>
          <w:rFonts w:cs="Times New Roman"/>
        </w:rPr>
        <w:t>Sernagor</w:t>
      </w:r>
      <w:proofErr w:type="spellEnd"/>
      <w:r w:rsidRPr="00612EC5">
        <w:rPr>
          <w:rFonts w:cs="Times New Roman"/>
        </w:rPr>
        <w:t xml:space="preserve"> E (2014) A data repository and analysis framework for spontaneous neural activity recordings in developing retina. </w:t>
      </w:r>
      <w:proofErr w:type="spellStart"/>
      <w:proofErr w:type="gramStart"/>
      <w:r w:rsidRPr="00612EC5">
        <w:rPr>
          <w:rFonts w:cs="Times New Roman"/>
        </w:rPr>
        <w:t>Gigascience</w:t>
      </w:r>
      <w:proofErr w:type="spellEnd"/>
      <w:r w:rsidRPr="00612EC5">
        <w:rPr>
          <w:rFonts w:cs="Times New Roman"/>
        </w:rPr>
        <w:t xml:space="preserve"> 3:3.</w:t>
      </w:r>
      <w:proofErr w:type="gramEnd"/>
    </w:p>
    <w:p w14:paraId="6DB9D903" w14:textId="77777777" w:rsidR="00023C8D" w:rsidRPr="00612EC5" w:rsidRDefault="00023C8D" w:rsidP="00023C8D">
      <w:pPr>
        <w:rPr>
          <w:rFonts w:cs="Times New Roman"/>
        </w:rPr>
      </w:pPr>
    </w:p>
    <w:p w14:paraId="0DC74B71" w14:textId="77777777" w:rsidR="00023C8D" w:rsidRPr="00612EC5" w:rsidRDefault="00023C8D" w:rsidP="00023C8D">
      <w:pPr>
        <w:rPr>
          <w:rFonts w:cs="Times New Roman"/>
        </w:rPr>
      </w:pPr>
      <w:proofErr w:type="spellStart"/>
      <w:proofErr w:type="gramStart"/>
      <w:r w:rsidRPr="00612EC5">
        <w:rPr>
          <w:rFonts w:cs="Times New Roman"/>
        </w:rPr>
        <w:t>Eytan</w:t>
      </w:r>
      <w:proofErr w:type="spellEnd"/>
      <w:r w:rsidRPr="00612EC5">
        <w:rPr>
          <w:rFonts w:cs="Times New Roman"/>
        </w:rPr>
        <w:t xml:space="preserve"> D, </w:t>
      </w:r>
      <w:proofErr w:type="spellStart"/>
      <w:r w:rsidRPr="00612EC5">
        <w:rPr>
          <w:rFonts w:cs="Times New Roman"/>
        </w:rPr>
        <w:t>Marom</w:t>
      </w:r>
      <w:proofErr w:type="spellEnd"/>
      <w:r w:rsidRPr="00612EC5">
        <w:rPr>
          <w:rFonts w:cs="Times New Roman"/>
        </w:rPr>
        <w:t xml:space="preserve"> S (2006) Dynamics and Effective Topology Underlying Synchronization in Networks of Cortical Neurons.</w:t>
      </w:r>
      <w:proofErr w:type="gramEnd"/>
      <w:r w:rsidRPr="00612EC5">
        <w:rPr>
          <w:rFonts w:cs="Times New Roman"/>
        </w:rPr>
        <w:t xml:space="preserve"> </w:t>
      </w:r>
      <w:proofErr w:type="gramStart"/>
      <w:r w:rsidRPr="00612EC5">
        <w:rPr>
          <w:rFonts w:cs="Times New Roman"/>
        </w:rPr>
        <w:t>Journal of Neuroscience 26:8465–8476.</w:t>
      </w:r>
      <w:proofErr w:type="gramEnd"/>
    </w:p>
    <w:p w14:paraId="31A5F190" w14:textId="77777777" w:rsidR="00023C8D" w:rsidRPr="00612EC5" w:rsidRDefault="00023C8D" w:rsidP="00023C8D">
      <w:pPr>
        <w:rPr>
          <w:rFonts w:cs="Times New Roman"/>
        </w:rPr>
      </w:pPr>
    </w:p>
    <w:p w14:paraId="4630EE0A" w14:textId="77777777" w:rsidR="00023C8D" w:rsidRPr="00612EC5" w:rsidRDefault="00023C8D" w:rsidP="00023C8D">
      <w:pPr>
        <w:rPr>
          <w:rFonts w:cs="Times New Roman"/>
        </w:rPr>
      </w:pPr>
      <w:proofErr w:type="spellStart"/>
      <w:r w:rsidRPr="00612EC5">
        <w:rPr>
          <w:rFonts w:cs="Times New Roman"/>
        </w:rPr>
        <w:t>Grandjean</w:t>
      </w:r>
      <w:proofErr w:type="spellEnd"/>
      <w:r w:rsidRPr="00612EC5">
        <w:rPr>
          <w:rFonts w:cs="Times New Roman"/>
        </w:rPr>
        <w:t xml:space="preserve"> P, </w:t>
      </w:r>
      <w:proofErr w:type="spellStart"/>
      <w:r w:rsidRPr="00612EC5">
        <w:rPr>
          <w:rFonts w:cs="Times New Roman"/>
        </w:rPr>
        <w:t>Landrigan</w:t>
      </w:r>
      <w:proofErr w:type="spellEnd"/>
      <w:r w:rsidRPr="00612EC5">
        <w:rPr>
          <w:rFonts w:cs="Times New Roman"/>
        </w:rPr>
        <w:t xml:space="preserve"> PJ (2014) </w:t>
      </w:r>
      <w:proofErr w:type="spellStart"/>
      <w:r w:rsidRPr="00612EC5">
        <w:rPr>
          <w:rFonts w:cs="Times New Roman"/>
        </w:rPr>
        <w:t>Neurobehavioural</w:t>
      </w:r>
      <w:proofErr w:type="spellEnd"/>
      <w:r w:rsidRPr="00612EC5">
        <w:rPr>
          <w:rFonts w:cs="Times New Roman"/>
        </w:rPr>
        <w:t xml:space="preserve"> effects of developmental toxicity. </w:t>
      </w:r>
      <w:proofErr w:type="gramStart"/>
      <w:r w:rsidRPr="00612EC5">
        <w:rPr>
          <w:rFonts w:cs="Times New Roman"/>
        </w:rPr>
        <w:t xml:space="preserve">Lancet </w:t>
      </w:r>
      <w:proofErr w:type="spellStart"/>
      <w:r w:rsidRPr="00612EC5">
        <w:rPr>
          <w:rFonts w:cs="Times New Roman"/>
        </w:rPr>
        <w:t>Neurol</w:t>
      </w:r>
      <w:proofErr w:type="spellEnd"/>
      <w:r w:rsidRPr="00612EC5">
        <w:rPr>
          <w:rFonts w:cs="Times New Roman"/>
        </w:rPr>
        <w:t xml:space="preserve"> 13:330–338.</w:t>
      </w:r>
      <w:proofErr w:type="gramEnd"/>
    </w:p>
    <w:p w14:paraId="5E28CF78" w14:textId="77777777" w:rsidR="00023C8D" w:rsidRPr="00612EC5" w:rsidRDefault="00023C8D" w:rsidP="00023C8D">
      <w:pPr>
        <w:rPr>
          <w:rFonts w:cs="Times New Roman"/>
        </w:rPr>
      </w:pPr>
    </w:p>
    <w:p w14:paraId="5EAC26A1" w14:textId="77777777" w:rsidR="00023C8D" w:rsidRPr="00612EC5" w:rsidRDefault="00023C8D" w:rsidP="00023C8D">
      <w:pPr>
        <w:rPr>
          <w:rFonts w:cs="Times New Roman"/>
        </w:rPr>
      </w:pPr>
      <w:proofErr w:type="spellStart"/>
      <w:r w:rsidRPr="00612EC5">
        <w:rPr>
          <w:rFonts w:cs="Times New Roman"/>
        </w:rPr>
        <w:t>Grandjean</w:t>
      </w:r>
      <w:proofErr w:type="spellEnd"/>
      <w:r w:rsidRPr="00612EC5">
        <w:rPr>
          <w:rFonts w:cs="Times New Roman"/>
        </w:rPr>
        <w:t xml:space="preserve"> P, </w:t>
      </w:r>
      <w:proofErr w:type="spellStart"/>
      <w:r w:rsidRPr="00612EC5">
        <w:rPr>
          <w:rFonts w:cs="Times New Roman"/>
        </w:rPr>
        <w:t>Landrigan</w:t>
      </w:r>
      <w:proofErr w:type="spellEnd"/>
      <w:r w:rsidRPr="00612EC5">
        <w:rPr>
          <w:rFonts w:cs="Times New Roman"/>
        </w:rPr>
        <w:t xml:space="preserve"> PJ (2006) Developmental neurotoxicity of industrial chemicals. </w:t>
      </w:r>
      <w:proofErr w:type="gramStart"/>
      <w:r w:rsidRPr="00612EC5">
        <w:rPr>
          <w:rFonts w:cs="Times New Roman"/>
        </w:rPr>
        <w:t>Lancet 368:2167–2178.</w:t>
      </w:r>
      <w:proofErr w:type="gramEnd"/>
    </w:p>
    <w:p w14:paraId="0D52C7E2" w14:textId="77777777" w:rsidR="00023C8D" w:rsidRPr="00612EC5" w:rsidRDefault="00023C8D" w:rsidP="00023C8D">
      <w:pPr>
        <w:rPr>
          <w:rFonts w:cs="Times New Roman"/>
        </w:rPr>
      </w:pPr>
    </w:p>
    <w:p w14:paraId="3BCAD0F7" w14:textId="77777777" w:rsidR="00023C8D" w:rsidRPr="00612EC5" w:rsidRDefault="00023C8D" w:rsidP="00023C8D">
      <w:pPr>
        <w:rPr>
          <w:rFonts w:cs="Times New Roman"/>
        </w:rPr>
      </w:pPr>
      <w:r w:rsidRPr="00612EC5">
        <w:rPr>
          <w:rFonts w:cs="Times New Roman"/>
        </w:rPr>
        <w:t xml:space="preserve">Gross GW, </w:t>
      </w:r>
      <w:proofErr w:type="spellStart"/>
      <w:r w:rsidRPr="00612EC5">
        <w:rPr>
          <w:rFonts w:cs="Times New Roman"/>
        </w:rPr>
        <w:t>Harsch</w:t>
      </w:r>
      <w:proofErr w:type="spellEnd"/>
      <w:r w:rsidRPr="00612EC5">
        <w:rPr>
          <w:rFonts w:cs="Times New Roman"/>
        </w:rPr>
        <w:t xml:space="preserve"> A, Rhoades BK, </w:t>
      </w:r>
      <w:proofErr w:type="spellStart"/>
      <w:r w:rsidRPr="00612EC5">
        <w:rPr>
          <w:rFonts w:cs="Times New Roman"/>
        </w:rPr>
        <w:t>Göpel</w:t>
      </w:r>
      <w:proofErr w:type="spellEnd"/>
      <w:r w:rsidRPr="00612EC5">
        <w:rPr>
          <w:rFonts w:cs="Times New Roman"/>
        </w:rPr>
        <w:t xml:space="preserve"> W (1997) Odor, drug and toxin analysis with neuronal networks in vitro: extracellular array recording of network responses. </w:t>
      </w:r>
      <w:proofErr w:type="spellStart"/>
      <w:proofErr w:type="gramStart"/>
      <w:r w:rsidRPr="00612EC5">
        <w:rPr>
          <w:rFonts w:cs="Times New Roman"/>
        </w:rPr>
        <w:t>Biosens</w:t>
      </w:r>
      <w:proofErr w:type="spellEnd"/>
      <w:r w:rsidRPr="00612EC5">
        <w:rPr>
          <w:rFonts w:cs="Times New Roman"/>
        </w:rPr>
        <w:t xml:space="preserve"> </w:t>
      </w:r>
      <w:proofErr w:type="spellStart"/>
      <w:r w:rsidRPr="00612EC5">
        <w:rPr>
          <w:rFonts w:cs="Times New Roman"/>
        </w:rPr>
        <w:t>Bioelectron</w:t>
      </w:r>
      <w:proofErr w:type="spellEnd"/>
      <w:r w:rsidRPr="00612EC5">
        <w:rPr>
          <w:rFonts w:cs="Times New Roman"/>
        </w:rPr>
        <w:t xml:space="preserve"> 12:373–393.</w:t>
      </w:r>
      <w:proofErr w:type="gramEnd"/>
    </w:p>
    <w:p w14:paraId="6EBF5F7B" w14:textId="77777777" w:rsidR="00023C8D" w:rsidRPr="00612EC5" w:rsidRDefault="00023C8D" w:rsidP="00023C8D">
      <w:pPr>
        <w:rPr>
          <w:rFonts w:cs="Times New Roman"/>
        </w:rPr>
      </w:pPr>
    </w:p>
    <w:p w14:paraId="3EBEE406" w14:textId="77777777" w:rsidR="00023C8D" w:rsidRPr="00612EC5" w:rsidRDefault="00023C8D" w:rsidP="00023C8D">
      <w:pPr>
        <w:rPr>
          <w:rFonts w:cs="Times New Roman"/>
        </w:rPr>
      </w:pPr>
      <w:proofErr w:type="spellStart"/>
      <w:r w:rsidRPr="00612EC5">
        <w:rPr>
          <w:rFonts w:cs="Times New Roman"/>
        </w:rPr>
        <w:t>Harrill</w:t>
      </w:r>
      <w:proofErr w:type="spellEnd"/>
      <w:r w:rsidRPr="00612EC5">
        <w:rPr>
          <w:rFonts w:cs="Times New Roman"/>
        </w:rPr>
        <w:t xml:space="preserve"> JA, Robinette BL, Mundy WR (2011) Use of high content image analysis to detect chemical-induced changes in synaptogenesis in vitro. </w:t>
      </w:r>
      <w:proofErr w:type="spellStart"/>
      <w:proofErr w:type="gramStart"/>
      <w:r w:rsidRPr="00612EC5">
        <w:rPr>
          <w:rFonts w:cs="Times New Roman"/>
        </w:rPr>
        <w:t>Toxicol</w:t>
      </w:r>
      <w:proofErr w:type="spellEnd"/>
      <w:r w:rsidRPr="00612EC5">
        <w:rPr>
          <w:rFonts w:cs="Times New Roman"/>
        </w:rPr>
        <w:t xml:space="preserve"> In Vitro 25:368–387.</w:t>
      </w:r>
      <w:proofErr w:type="gramEnd"/>
    </w:p>
    <w:p w14:paraId="3C3E9B36" w14:textId="77777777" w:rsidR="00023C8D" w:rsidRPr="00612EC5" w:rsidRDefault="00023C8D" w:rsidP="00023C8D">
      <w:pPr>
        <w:rPr>
          <w:rFonts w:cs="Times New Roman"/>
        </w:rPr>
      </w:pPr>
    </w:p>
    <w:p w14:paraId="48D54913" w14:textId="77777777" w:rsidR="00023C8D" w:rsidRPr="00612EC5" w:rsidRDefault="00023C8D" w:rsidP="00023C8D">
      <w:pPr>
        <w:rPr>
          <w:rFonts w:cs="Times New Roman"/>
        </w:rPr>
      </w:pPr>
      <w:proofErr w:type="spellStart"/>
      <w:r w:rsidRPr="00612EC5">
        <w:rPr>
          <w:rFonts w:cs="Times New Roman"/>
        </w:rPr>
        <w:t>Harrill</w:t>
      </w:r>
      <w:proofErr w:type="spellEnd"/>
      <w:r w:rsidRPr="00612EC5">
        <w:rPr>
          <w:rFonts w:cs="Times New Roman"/>
        </w:rPr>
        <w:t xml:space="preserve"> JA, Robinette BL, </w:t>
      </w:r>
      <w:proofErr w:type="spellStart"/>
      <w:r w:rsidRPr="00612EC5">
        <w:rPr>
          <w:rFonts w:cs="Times New Roman"/>
        </w:rPr>
        <w:t>Freudenrich</w:t>
      </w:r>
      <w:proofErr w:type="spellEnd"/>
      <w:r w:rsidRPr="00612EC5">
        <w:rPr>
          <w:rFonts w:cs="Times New Roman"/>
        </w:rPr>
        <w:t xml:space="preserve"> T, Mundy WR (2013) Use of high content image analyses to detect chemical-mediated effects on </w:t>
      </w:r>
      <w:proofErr w:type="spellStart"/>
      <w:r w:rsidRPr="00612EC5">
        <w:rPr>
          <w:rFonts w:cs="Times New Roman"/>
        </w:rPr>
        <w:t>neurite</w:t>
      </w:r>
      <w:proofErr w:type="spellEnd"/>
      <w:r w:rsidRPr="00612EC5">
        <w:rPr>
          <w:rFonts w:cs="Times New Roman"/>
        </w:rPr>
        <w:t xml:space="preserve"> sub-populations in primary rat cortical neurons. </w:t>
      </w:r>
      <w:proofErr w:type="spellStart"/>
      <w:proofErr w:type="gramStart"/>
      <w:r w:rsidRPr="00612EC5">
        <w:rPr>
          <w:rFonts w:cs="Times New Roman"/>
        </w:rPr>
        <w:t>Neurotoxicology</w:t>
      </w:r>
      <w:proofErr w:type="spellEnd"/>
      <w:r w:rsidRPr="00612EC5">
        <w:rPr>
          <w:rFonts w:cs="Times New Roman"/>
        </w:rPr>
        <w:t xml:space="preserve"> 34:61–73.</w:t>
      </w:r>
      <w:proofErr w:type="gramEnd"/>
    </w:p>
    <w:p w14:paraId="39612B4E" w14:textId="77777777" w:rsidR="00023C8D" w:rsidRPr="00612EC5" w:rsidRDefault="00023C8D" w:rsidP="00023C8D">
      <w:pPr>
        <w:rPr>
          <w:rFonts w:cs="Times New Roman"/>
        </w:rPr>
      </w:pPr>
    </w:p>
    <w:p w14:paraId="5FC71B29" w14:textId="77777777" w:rsidR="00023C8D" w:rsidRPr="00612EC5" w:rsidRDefault="00023C8D" w:rsidP="00023C8D">
      <w:pPr>
        <w:rPr>
          <w:rFonts w:cs="Times New Roman"/>
        </w:rPr>
      </w:pPr>
      <w:proofErr w:type="spellStart"/>
      <w:r w:rsidRPr="00612EC5">
        <w:rPr>
          <w:rFonts w:cs="Times New Roman"/>
        </w:rPr>
        <w:t>MacLaren</w:t>
      </w:r>
      <w:proofErr w:type="spellEnd"/>
      <w:r w:rsidRPr="00612EC5">
        <w:rPr>
          <w:rFonts w:cs="Times New Roman"/>
        </w:rPr>
        <w:t xml:space="preserve"> EJ, </w:t>
      </w:r>
      <w:proofErr w:type="spellStart"/>
      <w:r w:rsidRPr="00612EC5">
        <w:rPr>
          <w:rFonts w:cs="Times New Roman"/>
        </w:rPr>
        <w:t>Charlesworth</w:t>
      </w:r>
      <w:proofErr w:type="spellEnd"/>
      <w:r w:rsidRPr="00612EC5">
        <w:rPr>
          <w:rFonts w:cs="Times New Roman"/>
        </w:rPr>
        <w:t xml:space="preserve"> P, </w:t>
      </w:r>
      <w:proofErr w:type="spellStart"/>
      <w:r w:rsidRPr="00612EC5">
        <w:rPr>
          <w:rFonts w:cs="Times New Roman"/>
        </w:rPr>
        <w:t>Coba</w:t>
      </w:r>
      <w:proofErr w:type="spellEnd"/>
      <w:r w:rsidRPr="00612EC5">
        <w:rPr>
          <w:rFonts w:cs="Times New Roman"/>
        </w:rPr>
        <w:t xml:space="preserve"> MP, Grant SGN (2011) Knockdown of mental disorder susceptibility genes disrupts neuronal network physiology in vitro. </w:t>
      </w:r>
      <w:proofErr w:type="spellStart"/>
      <w:proofErr w:type="gramStart"/>
      <w:r w:rsidRPr="00612EC5">
        <w:rPr>
          <w:rFonts w:cs="Times New Roman"/>
        </w:rPr>
        <w:t>Mol</w:t>
      </w:r>
      <w:proofErr w:type="spellEnd"/>
      <w:r w:rsidRPr="00612EC5">
        <w:rPr>
          <w:rFonts w:cs="Times New Roman"/>
        </w:rPr>
        <w:t xml:space="preserve"> Cell </w:t>
      </w:r>
      <w:proofErr w:type="spellStart"/>
      <w:r w:rsidRPr="00612EC5">
        <w:rPr>
          <w:rFonts w:cs="Times New Roman"/>
        </w:rPr>
        <w:t>Neurosci</w:t>
      </w:r>
      <w:proofErr w:type="spellEnd"/>
      <w:r w:rsidRPr="00612EC5">
        <w:rPr>
          <w:rFonts w:cs="Times New Roman"/>
        </w:rPr>
        <w:t xml:space="preserve"> 47:93–99.</w:t>
      </w:r>
      <w:proofErr w:type="gramEnd"/>
    </w:p>
    <w:p w14:paraId="7469ED33" w14:textId="77777777" w:rsidR="00023C8D" w:rsidRPr="00612EC5" w:rsidRDefault="00023C8D" w:rsidP="00023C8D">
      <w:pPr>
        <w:rPr>
          <w:rFonts w:cs="Times New Roman"/>
        </w:rPr>
      </w:pPr>
    </w:p>
    <w:p w14:paraId="1EBDC0A7" w14:textId="77777777" w:rsidR="00023C8D" w:rsidRPr="00612EC5" w:rsidRDefault="00023C8D" w:rsidP="00023C8D">
      <w:pPr>
        <w:rPr>
          <w:rFonts w:cs="Times New Roman"/>
        </w:rPr>
      </w:pPr>
      <w:proofErr w:type="spellStart"/>
      <w:r w:rsidRPr="00612EC5">
        <w:rPr>
          <w:rFonts w:cs="Times New Roman"/>
        </w:rPr>
        <w:t>Marom</w:t>
      </w:r>
      <w:proofErr w:type="spellEnd"/>
      <w:r w:rsidRPr="00612EC5">
        <w:rPr>
          <w:rFonts w:cs="Times New Roman"/>
        </w:rPr>
        <w:t xml:space="preserve"> S, </w:t>
      </w:r>
      <w:proofErr w:type="spellStart"/>
      <w:r w:rsidRPr="00612EC5">
        <w:rPr>
          <w:rFonts w:cs="Times New Roman"/>
        </w:rPr>
        <w:t>Shahaf</w:t>
      </w:r>
      <w:proofErr w:type="spellEnd"/>
      <w:r w:rsidRPr="00612EC5">
        <w:rPr>
          <w:rFonts w:cs="Times New Roman"/>
        </w:rPr>
        <w:t xml:space="preserve"> G (2002) Development, learning and memory in large random networks of cortical neurons: lessons beyond anatomy. Q Rev </w:t>
      </w:r>
      <w:proofErr w:type="spellStart"/>
      <w:r w:rsidRPr="00612EC5">
        <w:rPr>
          <w:rFonts w:cs="Times New Roman"/>
        </w:rPr>
        <w:t>Biophys</w:t>
      </w:r>
      <w:proofErr w:type="spellEnd"/>
      <w:r w:rsidRPr="00612EC5">
        <w:rPr>
          <w:rFonts w:cs="Times New Roman"/>
        </w:rPr>
        <w:t xml:space="preserve"> 35:63–87.</w:t>
      </w:r>
    </w:p>
    <w:p w14:paraId="70949BB5" w14:textId="77777777" w:rsidR="00023C8D" w:rsidRPr="00612EC5" w:rsidRDefault="00023C8D" w:rsidP="00023C8D">
      <w:pPr>
        <w:rPr>
          <w:rFonts w:cs="Times New Roman"/>
        </w:rPr>
      </w:pPr>
    </w:p>
    <w:p w14:paraId="1026752E" w14:textId="77777777" w:rsidR="00023C8D" w:rsidRPr="00612EC5" w:rsidRDefault="00023C8D" w:rsidP="00023C8D">
      <w:pPr>
        <w:rPr>
          <w:rFonts w:cs="Times New Roman"/>
        </w:rPr>
      </w:pPr>
      <w:r w:rsidRPr="00612EC5">
        <w:rPr>
          <w:rFonts w:cs="Times New Roman"/>
        </w:rPr>
        <w:t xml:space="preserve">Nam Y, Wheeler BC (2011) In vitro microelectrode array technology and neural recordings. </w:t>
      </w:r>
      <w:proofErr w:type="spellStart"/>
      <w:r w:rsidRPr="00612EC5">
        <w:rPr>
          <w:rFonts w:cs="Times New Roman"/>
        </w:rPr>
        <w:t>Crit</w:t>
      </w:r>
      <w:proofErr w:type="spellEnd"/>
      <w:r w:rsidRPr="00612EC5">
        <w:rPr>
          <w:rFonts w:cs="Times New Roman"/>
        </w:rPr>
        <w:t xml:space="preserve"> Rev Biomed </w:t>
      </w:r>
      <w:proofErr w:type="spellStart"/>
      <w:r w:rsidRPr="00612EC5">
        <w:rPr>
          <w:rFonts w:cs="Times New Roman"/>
        </w:rPr>
        <w:t>Eng</w:t>
      </w:r>
      <w:proofErr w:type="spellEnd"/>
      <w:r w:rsidRPr="00612EC5">
        <w:rPr>
          <w:rFonts w:cs="Times New Roman"/>
        </w:rPr>
        <w:t xml:space="preserve"> 39:45–61.</w:t>
      </w:r>
    </w:p>
    <w:p w14:paraId="2E6A1418" w14:textId="77777777" w:rsidR="00023C8D" w:rsidRPr="00612EC5" w:rsidRDefault="00023C8D" w:rsidP="00023C8D">
      <w:pPr>
        <w:rPr>
          <w:rFonts w:cs="Times New Roman"/>
        </w:rPr>
      </w:pPr>
    </w:p>
    <w:p w14:paraId="3691A0E8" w14:textId="77777777" w:rsidR="00023C8D" w:rsidRPr="00612EC5" w:rsidRDefault="00023C8D" w:rsidP="00023C8D">
      <w:pPr>
        <w:rPr>
          <w:rFonts w:cs="Times New Roman"/>
        </w:rPr>
      </w:pPr>
      <w:r w:rsidRPr="00612EC5">
        <w:rPr>
          <w:rFonts w:cs="Times New Roman"/>
        </w:rPr>
        <w:t xml:space="preserve">Nicolas J, </w:t>
      </w:r>
      <w:proofErr w:type="spellStart"/>
      <w:r w:rsidRPr="00612EC5">
        <w:rPr>
          <w:rFonts w:cs="Times New Roman"/>
        </w:rPr>
        <w:t>Hendriksen</w:t>
      </w:r>
      <w:proofErr w:type="spellEnd"/>
      <w:r w:rsidRPr="00612EC5">
        <w:rPr>
          <w:rFonts w:cs="Times New Roman"/>
        </w:rPr>
        <w:t xml:space="preserve"> PJM, van </w:t>
      </w:r>
      <w:proofErr w:type="spellStart"/>
      <w:r w:rsidRPr="00612EC5">
        <w:rPr>
          <w:rFonts w:cs="Times New Roman"/>
        </w:rPr>
        <w:t>Kleef</w:t>
      </w:r>
      <w:proofErr w:type="spellEnd"/>
      <w:r w:rsidRPr="00612EC5">
        <w:rPr>
          <w:rFonts w:cs="Times New Roman"/>
        </w:rPr>
        <w:t xml:space="preserve"> RGDM, de Groot A, </w:t>
      </w:r>
      <w:proofErr w:type="spellStart"/>
      <w:r w:rsidRPr="00612EC5">
        <w:rPr>
          <w:rFonts w:cs="Times New Roman"/>
        </w:rPr>
        <w:t>Bovee</w:t>
      </w:r>
      <w:proofErr w:type="spellEnd"/>
      <w:r w:rsidRPr="00612EC5">
        <w:rPr>
          <w:rFonts w:cs="Times New Roman"/>
        </w:rPr>
        <w:t xml:space="preserve"> TFH, </w:t>
      </w:r>
      <w:proofErr w:type="spellStart"/>
      <w:r w:rsidRPr="00612EC5">
        <w:rPr>
          <w:rFonts w:cs="Times New Roman"/>
        </w:rPr>
        <w:t>Rietjens</w:t>
      </w:r>
      <w:proofErr w:type="spellEnd"/>
      <w:r w:rsidRPr="00612EC5">
        <w:rPr>
          <w:rFonts w:cs="Times New Roman"/>
        </w:rPr>
        <w:t xml:space="preserve"> IMCM, </w:t>
      </w:r>
      <w:proofErr w:type="spellStart"/>
      <w:r w:rsidRPr="00612EC5">
        <w:rPr>
          <w:rFonts w:cs="Times New Roman"/>
        </w:rPr>
        <w:t>Westerink</w:t>
      </w:r>
      <w:proofErr w:type="spellEnd"/>
      <w:r w:rsidRPr="00612EC5">
        <w:rPr>
          <w:rFonts w:cs="Times New Roman"/>
        </w:rPr>
        <w:t xml:space="preserve"> RHS (2014) Detection of marine neurotoxins in food safety testing using a </w:t>
      </w:r>
      <w:proofErr w:type="spellStart"/>
      <w:r w:rsidRPr="00612EC5">
        <w:rPr>
          <w:rFonts w:cs="Times New Roman"/>
        </w:rPr>
        <w:t>multielectrode</w:t>
      </w:r>
      <w:proofErr w:type="spellEnd"/>
      <w:r w:rsidRPr="00612EC5">
        <w:rPr>
          <w:rFonts w:cs="Times New Roman"/>
        </w:rPr>
        <w:t xml:space="preserve"> array. </w:t>
      </w:r>
      <w:proofErr w:type="spellStart"/>
      <w:proofErr w:type="gramStart"/>
      <w:r w:rsidRPr="00612EC5">
        <w:rPr>
          <w:rFonts w:cs="Times New Roman"/>
        </w:rPr>
        <w:t>Mol</w:t>
      </w:r>
      <w:proofErr w:type="spellEnd"/>
      <w:r w:rsidRPr="00612EC5">
        <w:rPr>
          <w:rFonts w:cs="Times New Roman"/>
        </w:rPr>
        <w:t xml:space="preserve"> </w:t>
      </w:r>
      <w:proofErr w:type="spellStart"/>
      <w:r w:rsidRPr="00612EC5">
        <w:rPr>
          <w:rFonts w:cs="Times New Roman"/>
        </w:rPr>
        <w:t>Nutr</w:t>
      </w:r>
      <w:proofErr w:type="spellEnd"/>
      <w:r w:rsidRPr="00612EC5">
        <w:rPr>
          <w:rFonts w:cs="Times New Roman"/>
        </w:rPr>
        <w:t xml:space="preserve"> Food Res 58:2369–2378.</w:t>
      </w:r>
      <w:proofErr w:type="gramEnd"/>
    </w:p>
    <w:p w14:paraId="0BD6A300" w14:textId="77777777" w:rsidR="00023C8D" w:rsidRPr="00612EC5" w:rsidRDefault="00023C8D" w:rsidP="00023C8D">
      <w:pPr>
        <w:rPr>
          <w:rFonts w:cs="Times New Roman"/>
        </w:rPr>
      </w:pPr>
    </w:p>
    <w:p w14:paraId="4437EBC0" w14:textId="77777777" w:rsidR="00023C8D" w:rsidRPr="00612EC5" w:rsidRDefault="00023C8D" w:rsidP="00023C8D">
      <w:pPr>
        <w:rPr>
          <w:rFonts w:cs="Times New Roman"/>
        </w:rPr>
      </w:pPr>
      <w:r w:rsidRPr="00612EC5">
        <w:rPr>
          <w:rFonts w:cs="Times New Roman"/>
        </w:rPr>
        <w:t xml:space="preserve">Pasquale V, </w:t>
      </w:r>
      <w:proofErr w:type="spellStart"/>
      <w:r w:rsidRPr="00612EC5">
        <w:rPr>
          <w:rFonts w:cs="Times New Roman"/>
        </w:rPr>
        <w:t>Massobrio</w:t>
      </w:r>
      <w:proofErr w:type="spellEnd"/>
      <w:r w:rsidRPr="00612EC5">
        <w:rPr>
          <w:rFonts w:cs="Times New Roman"/>
        </w:rPr>
        <w:t xml:space="preserve"> P, Bologna LL, </w:t>
      </w:r>
      <w:proofErr w:type="spellStart"/>
      <w:r w:rsidRPr="00612EC5">
        <w:rPr>
          <w:rFonts w:cs="Times New Roman"/>
        </w:rPr>
        <w:t>Chiappalone</w:t>
      </w:r>
      <w:proofErr w:type="spellEnd"/>
      <w:r w:rsidRPr="00612EC5">
        <w:rPr>
          <w:rFonts w:cs="Times New Roman"/>
        </w:rPr>
        <w:t xml:space="preserve"> M, </w:t>
      </w:r>
      <w:proofErr w:type="spellStart"/>
      <w:r w:rsidRPr="00612EC5">
        <w:rPr>
          <w:rFonts w:cs="Times New Roman"/>
        </w:rPr>
        <w:t>Martinoia</w:t>
      </w:r>
      <w:proofErr w:type="spellEnd"/>
      <w:r w:rsidRPr="00612EC5">
        <w:rPr>
          <w:rFonts w:cs="Times New Roman"/>
        </w:rPr>
        <w:t xml:space="preserve"> S (2008) Self-organization and neuronal avalanches in networks of dissociated cortical neurons. </w:t>
      </w:r>
      <w:proofErr w:type="gramStart"/>
      <w:r w:rsidRPr="00612EC5">
        <w:rPr>
          <w:rFonts w:cs="Times New Roman"/>
        </w:rPr>
        <w:t>Neuroscience 153:1354–1369.</w:t>
      </w:r>
      <w:proofErr w:type="gramEnd"/>
    </w:p>
    <w:p w14:paraId="305BF9CB" w14:textId="77777777" w:rsidR="00023C8D" w:rsidRPr="00612EC5" w:rsidRDefault="00023C8D" w:rsidP="00023C8D">
      <w:pPr>
        <w:rPr>
          <w:rFonts w:cs="Times New Roman"/>
        </w:rPr>
      </w:pPr>
    </w:p>
    <w:p w14:paraId="538AC0CE" w14:textId="77777777" w:rsidR="00023C8D" w:rsidRPr="00612EC5" w:rsidRDefault="00023C8D" w:rsidP="00023C8D">
      <w:pPr>
        <w:rPr>
          <w:rFonts w:cs="Times New Roman"/>
        </w:rPr>
      </w:pPr>
      <w:r w:rsidRPr="00612EC5">
        <w:rPr>
          <w:rFonts w:cs="Times New Roman"/>
        </w:rPr>
        <w:lastRenderedPageBreak/>
        <w:t xml:space="preserve">Potter SM (2001) Chapter 4 Distributed processing in cultured neuronal networks. In: Advances in Neural Population Coding, </w:t>
      </w:r>
      <w:proofErr w:type="spellStart"/>
      <w:r w:rsidRPr="00612EC5">
        <w:rPr>
          <w:rFonts w:cs="Times New Roman"/>
        </w:rPr>
        <w:t>pp</w:t>
      </w:r>
      <w:proofErr w:type="spellEnd"/>
      <w:r w:rsidRPr="00612EC5">
        <w:rPr>
          <w:rFonts w:cs="Times New Roman"/>
        </w:rPr>
        <w:t xml:space="preserve"> 49–62. Elsevier.</w:t>
      </w:r>
    </w:p>
    <w:p w14:paraId="0D13736F" w14:textId="77777777" w:rsidR="00023C8D" w:rsidRPr="00612EC5" w:rsidRDefault="00023C8D" w:rsidP="00023C8D">
      <w:pPr>
        <w:rPr>
          <w:rFonts w:cs="Times New Roman"/>
        </w:rPr>
      </w:pPr>
    </w:p>
    <w:p w14:paraId="3E401F93" w14:textId="77777777" w:rsidR="00023C8D" w:rsidRPr="00612EC5" w:rsidRDefault="00023C8D" w:rsidP="00023C8D">
      <w:pPr>
        <w:rPr>
          <w:rFonts w:cs="Times New Roman"/>
        </w:rPr>
      </w:pPr>
      <w:r w:rsidRPr="00612EC5">
        <w:rPr>
          <w:rFonts w:cs="Times New Roman"/>
        </w:rPr>
        <w:t xml:space="preserve">Robinette BL, </w:t>
      </w:r>
      <w:proofErr w:type="spellStart"/>
      <w:r w:rsidRPr="00612EC5">
        <w:rPr>
          <w:rFonts w:cs="Times New Roman"/>
        </w:rPr>
        <w:t>Harrill</w:t>
      </w:r>
      <w:proofErr w:type="spellEnd"/>
      <w:r w:rsidRPr="00612EC5">
        <w:rPr>
          <w:rFonts w:cs="Times New Roman"/>
        </w:rPr>
        <w:t xml:space="preserve"> JA, Mundy WR, Shafer TJ (2011) In vitro assessment of developmental neurotoxicity: use of microelectrode arrays to measure functional changes in neuronal network ontogeny. </w:t>
      </w:r>
      <w:proofErr w:type="gramStart"/>
      <w:r w:rsidRPr="00612EC5">
        <w:rPr>
          <w:rFonts w:cs="Times New Roman"/>
        </w:rPr>
        <w:t xml:space="preserve">Front </w:t>
      </w:r>
      <w:proofErr w:type="spellStart"/>
      <w:r w:rsidRPr="00612EC5">
        <w:rPr>
          <w:rFonts w:cs="Times New Roman"/>
        </w:rPr>
        <w:t>Neuroeng</w:t>
      </w:r>
      <w:proofErr w:type="spellEnd"/>
      <w:r w:rsidRPr="00612EC5">
        <w:rPr>
          <w:rFonts w:cs="Times New Roman"/>
        </w:rPr>
        <w:t xml:space="preserve"> 4:1.</w:t>
      </w:r>
      <w:proofErr w:type="gramEnd"/>
    </w:p>
    <w:p w14:paraId="3D08115C" w14:textId="77777777" w:rsidR="00023C8D" w:rsidRPr="00612EC5" w:rsidRDefault="00023C8D" w:rsidP="00023C8D">
      <w:pPr>
        <w:rPr>
          <w:rFonts w:cs="Times New Roman"/>
        </w:rPr>
      </w:pPr>
    </w:p>
    <w:p w14:paraId="798ED0C8" w14:textId="77777777" w:rsidR="00023C8D" w:rsidRPr="00612EC5" w:rsidRDefault="00023C8D" w:rsidP="00023C8D">
      <w:pPr>
        <w:rPr>
          <w:rFonts w:cs="Times New Roman"/>
        </w:rPr>
      </w:pPr>
      <w:r w:rsidRPr="00612EC5">
        <w:rPr>
          <w:rFonts w:cs="Times New Roman"/>
        </w:rPr>
        <w:t xml:space="preserve">Valdivia P, Martin M, </w:t>
      </w:r>
      <w:proofErr w:type="spellStart"/>
      <w:r w:rsidRPr="00612EC5">
        <w:rPr>
          <w:rFonts w:cs="Times New Roman"/>
        </w:rPr>
        <w:t>LeFew</w:t>
      </w:r>
      <w:proofErr w:type="spellEnd"/>
      <w:r w:rsidRPr="00612EC5">
        <w:rPr>
          <w:rFonts w:cs="Times New Roman"/>
        </w:rPr>
        <w:t xml:space="preserve"> WR, Ross J, Houck KA, Shafer TJ (2014) Multi-well microelectrode array recordings detect </w:t>
      </w:r>
      <w:proofErr w:type="spellStart"/>
      <w:r w:rsidRPr="00612EC5">
        <w:rPr>
          <w:rFonts w:cs="Times New Roman"/>
        </w:rPr>
        <w:t>neuroactivity</w:t>
      </w:r>
      <w:proofErr w:type="spellEnd"/>
      <w:r w:rsidRPr="00612EC5">
        <w:rPr>
          <w:rFonts w:cs="Times New Roman"/>
        </w:rPr>
        <w:t xml:space="preserve"> of </w:t>
      </w:r>
      <w:proofErr w:type="spellStart"/>
      <w:r w:rsidRPr="00612EC5">
        <w:rPr>
          <w:rFonts w:cs="Times New Roman"/>
        </w:rPr>
        <w:t>ToxCast</w:t>
      </w:r>
      <w:proofErr w:type="spellEnd"/>
      <w:r w:rsidRPr="00612EC5">
        <w:rPr>
          <w:rFonts w:cs="Times New Roman"/>
        </w:rPr>
        <w:t xml:space="preserve"> compounds. </w:t>
      </w:r>
      <w:proofErr w:type="spellStart"/>
      <w:proofErr w:type="gramStart"/>
      <w:r w:rsidRPr="00612EC5">
        <w:rPr>
          <w:rFonts w:cs="Times New Roman"/>
        </w:rPr>
        <w:t>Neurotoxicology</w:t>
      </w:r>
      <w:proofErr w:type="spellEnd"/>
      <w:r w:rsidRPr="00612EC5">
        <w:rPr>
          <w:rFonts w:cs="Times New Roman"/>
        </w:rPr>
        <w:t xml:space="preserve"> 44:204–217.</w:t>
      </w:r>
      <w:proofErr w:type="gramEnd"/>
    </w:p>
    <w:p w14:paraId="76EC8B1A" w14:textId="77777777" w:rsidR="00023C8D" w:rsidRPr="00612EC5" w:rsidRDefault="00023C8D" w:rsidP="00023C8D">
      <w:pPr>
        <w:rPr>
          <w:rFonts w:cs="Times New Roman"/>
        </w:rPr>
      </w:pPr>
    </w:p>
    <w:p w14:paraId="6BA16DC9" w14:textId="77777777" w:rsidR="00023C8D" w:rsidRPr="00612EC5" w:rsidRDefault="00023C8D" w:rsidP="00023C8D">
      <w:pPr>
        <w:rPr>
          <w:rFonts w:cs="Times New Roman"/>
        </w:rPr>
      </w:pPr>
      <w:proofErr w:type="gramStart"/>
      <w:r w:rsidRPr="00612EC5">
        <w:rPr>
          <w:rFonts w:cs="Times New Roman"/>
        </w:rPr>
        <w:t xml:space="preserve">Van Pelt J, </w:t>
      </w:r>
      <w:proofErr w:type="spellStart"/>
      <w:r w:rsidRPr="00612EC5">
        <w:rPr>
          <w:rFonts w:cs="Times New Roman"/>
        </w:rPr>
        <w:t>Vajda</w:t>
      </w:r>
      <w:proofErr w:type="spellEnd"/>
      <w:r w:rsidRPr="00612EC5">
        <w:rPr>
          <w:rFonts w:cs="Times New Roman"/>
        </w:rPr>
        <w:t xml:space="preserve"> I, </w:t>
      </w:r>
      <w:proofErr w:type="spellStart"/>
      <w:r w:rsidRPr="00612EC5">
        <w:rPr>
          <w:rFonts w:cs="Times New Roman"/>
        </w:rPr>
        <w:t>Wolters</w:t>
      </w:r>
      <w:proofErr w:type="spellEnd"/>
      <w:r w:rsidRPr="00612EC5">
        <w:rPr>
          <w:rFonts w:cs="Times New Roman"/>
        </w:rPr>
        <w:t xml:space="preserve"> PS, Corner MA, </w:t>
      </w:r>
      <w:proofErr w:type="spellStart"/>
      <w:r w:rsidRPr="00612EC5">
        <w:rPr>
          <w:rFonts w:cs="Times New Roman"/>
        </w:rPr>
        <w:t>Ramakers</w:t>
      </w:r>
      <w:proofErr w:type="spellEnd"/>
      <w:r w:rsidRPr="00612EC5">
        <w:rPr>
          <w:rFonts w:cs="Times New Roman"/>
        </w:rPr>
        <w:t xml:space="preserve"> GJA (2005) Dynamics and plasticity in developing neuronal networks in vitro.</w:t>
      </w:r>
      <w:proofErr w:type="gramEnd"/>
      <w:r w:rsidRPr="00612EC5">
        <w:rPr>
          <w:rFonts w:cs="Times New Roman"/>
        </w:rPr>
        <w:t xml:space="preserve"> In: Development, Dynamics and </w:t>
      </w:r>
      <w:proofErr w:type="spellStart"/>
      <w:r w:rsidRPr="00612EC5">
        <w:rPr>
          <w:rFonts w:cs="Times New Roman"/>
        </w:rPr>
        <w:t>Pathiology</w:t>
      </w:r>
      <w:proofErr w:type="spellEnd"/>
      <w:r w:rsidRPr="00612EC5">
        <w:rPr>
          <w:rFonts w:cs="Times New Roman"/>
        </w:rPr>
        <w:t xml:space="preserve"> of Neuronal Networks: from Molecules to Functional Circuits, </w:t>
      </w:r>
      <w:proofErr w:type="spellStart"/>
      <w:r w:rsidRPr="00612EC5">
        <w:rPr>
          <w:rFonts w:cs="Times New Roman"/>
        </w:rPr>
        <w:t>pp</w:t>
      </w:r>
      <w:proofErr w:type="spellEnd"/>
      <w:r w:rsidRPr="00612EC5">
        <w:rPr>
          <w:rFonts w:cs="Times New Roman"/>
        </w:rPr>
        <w:t xml:space="preserve"> 171–188. Elsevier.</w:t>
      </w:r>
    </w:p>
    <w:p w14:paraId="2AFDB646" w14:textId="77777777" w:rsidR="00023C8D" w:rsidRPr="00612EC5" w:rsidRDefault="00023C8D" w:rsidP="00023C8D">
      <w:pPr>
        <w:rPr>
          <w:rFonts w:cs="Times New Roman"/>
        </w:rPr>
      </w:pPr>
    </w:p>
    <w:p w14:paraId="624677D1" w14:textId="77777777" w:rsidR="00023C8D" w:rsidRPr="00612EC5" w:rsidRDefault="00023C8D" w:rsidP="00023C8D">
      <w:pPr>
        <w:rPr>
          <w:rFonts w:cs="Times New Roman"/>
        </w:rPr>
      </w:pPr>
      <w:proofErr w:type="spellStart"/>
      <w:r w:rsidRPr="00612EC5">
        <w:rPr>
          <w:rFonts w:cs="Times New Roman"/>
        </w:rPr>
        <w:t>Wainger</w:t>
      </w:r>
      <w:proofErr w:type="spellEnd"/>
      <w:r w:rsidRPr="00612EC5">
        <w:rPr>
          <w:rFonts w:cs="Times New Roman"/>
        </w:rPr>
        <w:t xml:space="preserve"> BJ, </w:t>
      </w:r>
      <w:proofErr w:type="spellStart"/>
      <w:r w:rsidRPr="00612EC5">
        <w:rPr>
          <w:rFonts w:cs="Times New Roman"/>
        </w:rPr>
        <w:t>Kiskinis</w:t>
      </w:r>
      <w:proofErr w:type="spellEnd"/>
      <w:r w:rsidRPr="00612EC5">
        <w:rPr>
          <w:rFonts w:cs="Times New Roman"/>
        </w:rPr>
        <w:t xml:space="preserve"> E, </w:t>
      </w:r>
      <w:proofErr w:type="spellStart"/>
      <w:r w:rsidRPr="00612EC5">
        <w:rPr>
          <w:rFonts w:cs="Times New Roman"/>
        </w:rPr>
        <w:t>Mellin</w:t>
      </w:r>
      <w:proofErr w:type="spellEnd"/>
      <w:r w:rsidRPr="00612EC5">
        <w:rPr>
          <w:rFonts w:cs="Times New Roman"/>
        </w:rPr>
        <w:t xml:space="preserve"> C, </w:t>
      </w:r>
      <w:proofErr w:type="spellStart"/>
      <w:r w:rsidRPr="00612EC5">
        <w:rPr>
          <w:rFonts w:cs="Times New Roman"/>
        </w:rPr>
        <w:t>Wiskow</w:t>
      </w:r>
      <w:proofErr w:type="spellEnd"/>
      <w:r w:rsidRPr="00612EC5">
        <w:rPr>
          <w:rFonts w:cs="Times New Roman"/>
        </w:rPr>
        <w:t xml:space="preserve"> O, Han SSW, </w:t>
      </w:r>
      <w:proofErr w:type="spellStart"/>
      <w:r w:rsidRPr="00612EC5">
        <w:rPr>
          <w:rFonts w:cs="Times New Roman"/>
        </w:rPr>
        <w:t>Sandoe</w:t>
      </w:r>
      <w:proofErr w:type="spellEnd"/>
      <w:r w:rsidRPr="00612EC5">
        <w:rPr>
          <w:rFonts w:cs="Times New Roman"/>
        </w:rPr>
        <w:t xml:space="preserve"> J, Perez NP, Williams LA, Lee S, </w:t>
      </w:r>
      <w:proofErr w:type="spellStart"/>
      <w:r w:rsidRPr="00612EC5">
        <w:rPr>
          <w:rFonts w:cs="Times New Roman"/>
        </w:rPr>
        <w:t>Boulting</w:t>
      </w:r>
      <w:proofErr w:type="spellEnd"/>
      <w:r w:rsidRPr="00612EC5">
        <w:rPr>
          <w:rFonts w:cs="Times New Roman"/>
        </w:rPr>
        <w:t xml:space="preserve"> G, Berry JD, Brown RH </w:t>
      </w:r>
      <w:proofErr w:type="spellStart"/>
      <w:r w:rsidRPr="00612EC5">
        <w:rPr>
          <w:rFonts w:cs="Times New Roman"/>
        </w:rPr>
        <w:t>Jr</w:t>
      </w:r>
      <w:proofErr w:type="spellEnd"/>
      <w:r w:rsidRPr="00612EC5">
        <w:rPr>
          <w:rFonts w:cs="Times New Roman"/>
        </w:rPr>
        <w:t xml:space="preserve">, </w:t>
      </w:r>
      <w:proofErr w:type="spellStart"/>
      <w:r w:rsidRPr="00612EC5">
        <w:rPr>
          <w:rFonts w:cs="Times New Roman"/>
        </w:rPr>
        <w:t>Cudkowicz</w:t>
      </w:r>
      <w:proofErr w:type="spellEnd"/>
      <w:r w:rsidRPr="00612EC5">
        <w:rPr>
          <w:rFonts w:cs="Times New Roman"/>
        </w:rPr>
        <w:t xml:space="preserve"> ME, Bean BP, </w:t>
      </w:r>
      <w:proofErr w:type="spellStart"/>
      <w:r w:rsidRPr="00612EC5">
        <w:rPr>
          <w:rFonts w:cs="Times New Roman"/>
        </w:rPr>
        <w:t>Eggan</w:t>
      </w:r>
      <w:proofErr w:type="spellEnd"/>
      <w:r w:rsidRPr="00612EC5">
        <w:rPr>
          <w:rFonts w:cs="Times New Roman"/>
        </w:rPr>
        <w:t xml:space="preserve"> K, Woolf CJ (2014) Intrinsic membrane </w:t>
      </w:r>
      <w:proofErr w:type="spellStart"/>
      <w:r w:rsidRPr="00612EC5">
        <w:rPr>
          <w:rFonts w:cs="Times New Roman"/>
        </w:rPr>
        <w:t>hyperexcitability</w:t>
      </w:r>
      <w:proofErr w:type="spellEnd"/>
      <w:r w:rsidRPr="00612EC5">
        <w:rPr>
          <w:rFonts w:cs="Times New Roman"/>
        </w:rPr>
        <w:t xml:space="preserve"> of amyotrophic lateral sclerosis patient-derived motor neurons. Cell Rep 7:1–11.</w:t>
      </w:r>
    </w:p>
    <w:p w14:paraId="446F6557" w14:textId="77777777" w:rsidR="00023C8D" w:rsidRPr="00612EC5" w:rsidRDefault="00023C8D" w:rsidP="00023C8D">
      <w:pPr>
        <w:rPr>
          <w:rFonts w:cs="Times New Roman"/>
        </w:rPr>
      </w:pPr>
    </w:p>
    <w:p w14:paraId="008FA156" w14:textId="77777777" w:rsidR="00023C8D" w:rsidRPr="00612EC5" w:rsidRDefault="00023C8D" w:rsidP="00023C8D">
      <w:pPr>
        <w:rPr>
          <w:rFonts w:cs="Times New Roman"/>
        </w:rPr>
      </w:pPr>
      <w:r w:rsidRPr="00612EC5">
        <w:rPr>
          <w:rFonts w:cs="Times New Roman"/>
        </w:rPr>
        <w:t xml:space="preserve">Woodard CM et al. (2014) </w:t>
      </w:r>
      <w:proofErr w:type="spellStart"/>
      <w:r w:rsidRPr="00612EC5">
        <w:rPr>
          <w:rFonts w:cs="Times New Roman"/>
        </w:rPr>
        <w:t>iPSC</w:t>
      </w:r>
      <w:proofErr w:type="spellEnd"/>
      <w:r w:rsidRPr="00612EC5">
        <w:rPr>
          <w:rFonts w:cs="Times New Roman"/>
        </w:rPr>
        <w:t>-derived dopamine neurons reveal differences between monozygotic twins discordant for Parkinson’s disease. Cell Rep 9:1173–1182.</w:t>
      </w:r>
    </w:p>
    <w:p w14:paraId="49F5C680" w14:textId="1A39E8E7" w:rsidR="00A06BCC" w:rsidRPr="00612EC5" w:rsidRDefault="00A06BCC">
      <w:pPr>
        <w:rPr>
          <w:rFonts w:cs="Times New Roman"/>
        </w:rPr>
      </w:pPr>
    </w:p>
    <w:sectPr w:rsidR="00A06BCC" w:rsidRPr="00612EC5">
      <w:footerReference w:type="default" r:id="rI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hafer, Timothy" w:date="2015-09-03T09:23:00Z" w:initials="ST">
    <w:p w14:paraId="7E81E356" w14:textId="1EB10A32" w:rsidR="007234E2" w:rsidRDefault="007234E2">
      <w:pPr>
        <w:pStyle w:val="CommentText"/>
      </w:pPr>
      <w:r>
        <w:rPr>
          <w:rStyle w:val="CommentReference"/>
        </w:rPr>
        <w:annotationRef/>
      </w:r>
      <w:r>
        <w:t xml:space="preserve">Containing </w:t>
      </w:r>
      <w:proofErr w:type="spellStart"/>
      <w:r>
        <w:t>laminin</w:t>
      </w:r>
      <w:proofErr w:type="spellEnd"/>
      <w:r>
        <w:t>?</w:t>
      </w:r>
    </w:p>
  </w:comment>
  <w:comment w:id="5" w:author="Shafer, Timothy" w:date="2015-08-17T21:54:00Z" w:initials="ST">
    <w:p w14:paraId="209B5190" w14:textId="6E117FA1" w:rsidR="004B6250" w:rsidRDefault="004B6250">
      <w:pPr>
        <w:pStyle w:val="CommentText"/>
      </w:pPr>
      <w:r>
        <w:rPr>
          <w:rStyle w:val="CommentReference"/>
        </w:rPr>
        <w:annotationRef/>
      </w:r>
      <w:r>
        <w:t xml:space="preserve">Am I correct that the HDF5 files are on the </w:t>
      </w:r>
      <w:proofErr w:type="spellStart"/>
      <w:r>
        <w:t>github</w:t>
      </w:r>
      <w:proofErr w:type="spellEnd"/>
      <w:r>
        <w:t xml:space="preserve"> site.</w:t>
      </w:r>
    </w:p>
  </w:comment>
  <w:comment w:id="6" w:author="Shafer, Timothy" w:date="2015-08-17T21:55:00Z" w:initials="ST">
    <w:p w14:paraId="2E348E01" w14:textId="5BD4544D" w:rsidR="004B6250" w:rsidRDefault="004B6250">
      <w:pPr>
        <w:pStyle w:val="CommentText"/>
      </w:pPr>
      <w:r>
        <w:rPr>
          <w:rStyle w:val="CommentReference"/>
        </w:rPr>
        <w:annotationRef/>
      </w:r>
      <w:r>
        <w:t xml:space="preserve">I assume this is also an advantage of making the </w:t>
      </w:r>
      <w:proofErr w:type="spellStart"/>
      <w:r>
        <w:t>fliles</w:t>
      </w:r>
      <w:proofErr w:type="spellEnd"/>
      <w:r>
        <w:t xml:space="preserve"> public. Stephen- what kind of user agreement is required? I assume that anyone who does a novel analysis will have to acknowledge where the data were acquired. I should also check on any EPA requirements/conditions to be sure we are OK on this. (I know that we are encouraged to make files publically available, so am not too worried.</w:t>
      </w:r>
    </w:p>
  </w:comment>
  <w:comment w:id="9" w:author="Stephen Eglen" w:date="2015-09-02T14:56:00Z" w:initials="SE">
    <w:p w14:paraId="201BB392" w14:textId="4F861D81" w:rsidR="004B6250" w:rsidRDefault="004B6250">
      <w:pPr>
        <w:pStyle w:val="CommentText"/>
      </w:pPr>
      <w:r>
        <w:rPr>
          <w:rStyle w:val="CommentReference"/>
        </w:rPr>
        <w:annotationRef/>
      </w:r>
      <w:r>
        <w:t>Diana: why use this package?</w:t>
      </w:r>
    </w:p>
    <w:p w14:paraId="79B5D527" w14:textId="77777777" w:rsidR="004B6250" w:rsidRDefault="004B6250">
      <w:pPr>
        <w:pStyle w:val="CommentText"/>
      </w:pPr>
    </w:p>
  </w:comment>
  <w:comment w:id="10" w:author="Diana" w:date="2015-09-02T14:57:00Z" w:initials="D">
    <w:p w14:paraId="4FBF41E9" w14:textId="79553F3E" w:rsidR="004B6250" w:rsidRDefault="004B6250">
      <w:pPr>
        <w:pStyle w:val="CommentText"/>
      </w:pPr>
      <w:r>
        <w:rPr>
          <w:rStyle w:val="CommentReference"/>
        </w:rPr>
        <w:annotationRef/>
      </w:r>
      <w:r>
        <w:t>I modified an old script from a previous programmer, so it was basically just a matter of using what I knew.</w:t>
      </w:r>
    </w:p>
  </w:comment>
  <w:comment w:id="11" w:author="Shafer, Timothy" w:date="2015-08-26T21:05:00Z" w:initials="ST">
    <w:p w14:paraId="23AD287D" w14:textId="46341199" w:rsidR="004B6250" w:rsidRDefault="004B6250">
      <w:pPr>
        <w:pStyle w:val="CommentText"/>
      </w:pPr>
      <w:r>
        <w:rPr>
          <w:rStyle w:val="CommentReference"/>
        </w:rPr>
        <w:annotationRef/>
      </w:r>
      <w:r>
        <w:t>Are we sure we don’t mean plate here? I don’t recall any of the activity measures we present being at the level of the single electrode.</w:t>
      </w:r>
    </w:p>
  </w:comment>
  <w:comment w:id="12" w:author="Ellese Cotterill" w:date="2015-09-02T11:58:00Z" w:initials="EC">
    <w:p w14:paraId="123A059C" w14:textId="2C39A3A0" w:rsidR="004B6250" w:rsidRDefault="004B6250">
      <w:pPr>
        <w:pStyle w:val="CommentText"/>
      </w:pPr>
      <w:r>
        <w:rPr>
          <w:rStyle w:val="CommentReference"/>
        </w:rPr>
        <w:annotationRef/>
      </w:r>
      <w:r>
        <w:t>What I meant was that some features (e.g. network spikes) describe activity on each well as a whole, while others (e.g. bursting) are measured on each electrode individually. But I agree that the wording may be confusing here.</w:t>
      </w:r>
    </w:p>
  </w:comment>
  <w:comment w:id="13" w:author="Shafer, Timothy" w:date="2015-08-26T21:39:00Z" w:initials="ST">
    <w:p w14:paraId="2ECBDE68" w14:textId="3DB392D8" w:rsidR="004B6250" w:rsidRDefault="004B6250">
      <w:pPr>
        <w:pStyle w:val="CommentText"/>
      </w:pPr>
      <w:r>
        <w:rPr>
          <w:rStyle w:val="CommentReference"/>
        </w:rPr>
        <w:annotationRef/>
      </w:r>
      <w:r>
        <w:t>But which variables drive this? Would it be of interest/use to include a variable factor map (as in Mack et al., 2014)?</w:t>
      </w:r>
    </w:p>
  </w:comment>
  <w:comment w:id="14" w:author="Diana" w:date="2015-09-02T15:40:00Z" w:initials="D">
    <w:p w14:paraId="3A97D100" w14:textId="29618DC7" w:rsidR="004B6250" w:rsidRDefault="004B6250">
      <w:pPr>
        <w:pStyle w:val="CommentText"/>
      </w:pPr>
      <w:r>
        <w:rPr>
          <w:rStyle w:val="CommentReference"/>
        </w:rPr>
        <w:annotationRef/>
      </w:r>
      <w:r>
        <w:t>The factor loadings for Dim 1 (x) vs. dim 2 (y) are shown below. Since all 11 variables are oriented in the positive x direction, and the graph may be ugly, instead of putting the graph I can mention that the first graph correlates with increase in these variables</w:t>
      </w:r>
      <w:r>
        <w:rPr>
          <w:noProof/>
        </w:rPr>
        <w:drawing>
          <wp:inline distT="0" distB="0" distL="0" distR="0" wp14:anchorId="725505B2" wp14:editId="70D898A1">
            <wp:extent cx="5930900" cy="4279900"/>
            <wp:effectExtent l="0" t="0" r="12700" b="12700"/>
            <wp:docPr id="2" name="Picture 2" descr="Macintosh HD:Users:dh2744:Desktop:Screen Shot 2015-09-02 at 3.38.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h2744:Desktop:Screen Shot 2015-09-02 at 3.38.46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00" cy="4279900"/>
                    </a:xfrm>
                    <a:prstGeom prst="rect">
                      <a:avLst/>
                    </a:prstGeom>
                    <a:noFill/>
                    <a:ln>
                      <a:noFill/>
                    </a:ln>
                  </pic:spPr>
                </pic:pic>
              </a:graphicData>
            </a:graphic>
          </wp:inline>
        </w:drawing>
      </w:r>
    </w:p>
  </w:comment>
  <w:comment w:id="20" w:author="Shafer, Timothy" w:date="2015-08-26T21:15:00Z" w:initials="ST">
    <w:p w14:paraId="0E2B5F9D" w14:textId="545FA00A" w:rsidR="004B6250" w:rsidRDefault="004B6250">
      <w:pPr>
        <w:pStyle w:val="CommentText"/>
      </w:pPr>
      <w:r>
        <w:rPr>
          <w:rStyle w:val="CommentReference"/>
        </w:rPr>
        <w:annotationRef/>
      </w:r>
      <w:r>
        <w:t>It is interesting that CV of IBI is so influential. Other measures, such as fraction of bursting electrodes, burst rate and %spikes in burst show strong developmental profiles (Fig3), yet these are not as influential. Why?</w:t>
      </w:r>
    </w:p>
  </w:comment>
  <w:comment w:id="22" w:author="Shafer, Timothy" w:date="2015-08-26T21:32:00Z" w:initials="ST">
    <w:p w14:paraId="03D878D1" w14:textId="444BF709" w:rsidR="004B6250" w:rsidRDefault="004B6250">
      <w:pPr>
        <w:pStyle w:val="CommentText"/>
      </w:pPr>
      <w:r>
        <w:rPr>
          <w:rStyle w:val="CommentReference"/>
        </w:rPr>
        <w:annotationRef/>
      </w:r>
      <w:r>
        <w:t>We need to clarify how to interpret table 3. The last line of the legend implies that the model only includes the parameters on a given line and those above it. So, does that mean CV of within burst ISI by itself has a 50% prediction accuracy? Or that the model accuracy decreases to 50% when this parameter is removed and only the other 11 remain? (</w:t>
      </w:r>
      <w:proofErr w:type="gramStart"/>
      <w:r>
        <w:t>see</w:t>
      </w:r>
      <w:proofErr w:type="gramEnd"/>
      <w:r>
        <w:t xml:space="preserve"> “by removing each factor from consideration in order of their increasing importance….” a few lines above.</w:t>
      </w:r>
    </w:p>
  </w:comment>
  <w:comment w:id="23" w:author="Ellese Cotterill" w:date="2015-09-02T12:10:00Z" w:initials="EC">
    <w:p w14:paraId="20A9258E" w14:textId="01BB856E" w:rsidR="004B6250" w:rsidRDefault="004B6250">
      <w:pPr>
        <w:pStyle w:val="CommentText"/>
      </w:pPr>
      <w:r>
        <w:rPr>
          <w:rStyle w:val="CommentReference"/>
        </w:rPr>
        <w:annotationRef/>
      </w:r>
      <w:r>
        <w:t>What I was trying to say was that CV of within burst ISI by itself has 50% prediction accuracy. I’ve tried to reword that now to make it clearer – let me know what you think</w:t>
      </w:r>
    </w:p>
  </w:comment>
  <w:comment w:id="21" w:author="Shafer, Timothy" w:date="2015-08-17T22:12:00Z" w:initials="ST">
    <w:p w14:paraId="4D853447" w14:textId="73713046" w:rsidR="004B6250" w:rsidRDefault="004B6250">
      <w:pPr>
        <w:pStyle w:val="CommentText"/>
      </w:pPr>
      <w:r>
        <w:rPr>
          <w:rStyle w:val="CommentReference"/>
        </w:rPr>
        <w:annotationRef/>
      </w:r>
      <w:r>
        <w:t>I thought this section was a bit vague, so re-wrote it to be more specific. Let me know your thoughts.</w:t>
      </w:r>
    </w:p>
  </w:comment>
  <w:comment w:id="26" w:author="Shafer, Timothy" w:date="2015-09-03T11:18:00Z" w:initials="ST">
    <w:p w14:paraId="61325515" w14:textId="365E52A0" w:rsidR="00BF66DF" w:rsidRDefault="00BF66DF">
      <w:pPr>
        <w:pStyle w:val="CommentText"/>
      </w:pPr>
      <w:r>
        <w:rPr>
          <w:rStyle w:val="CommentReference"/>
        </w:rPr>
        <w:annotationRef/>
      </w:r>
      <w:r>
        <w:t>It struck me that this is really not that bad, even for closely related ages, and provides an argument for using all of the features, especially for closely related ages. I will bring this out in the discussion</w:t>
      </w:r>
    </w:p>
  </w:comment>
  <w:comment w:id="28" w:author="Shafer, Timothy" w:date="2015-08-17T22:14:00Z" w:initials="ST">
    <w:p w14:paraId="3C27317A" w14:textId="77777777" w:rsidR="004B6250" w:rsidRDefault="004B6250">
      <w:pPr>
        <w:pStyle w:val="CommentText"/>
      </w:pPr>
      <w:r>
        <w:rPr>
          <w:rStyle w:val="CommentReference"/>
        </w:rPr>
        <w:annotationRef/>
      </w:r>
      <w:r>
        <w:t>Actually, I get it. Unfortunately it means that only 2-3 different compounds, or 2-3 different doses could be used if only a single plate is used for testing. This isn’t very promising for high-throughput screening. We need to be careful how we say this relevant to how we are screening compounds now- 3 plates with 6 compounds per plate and multiple concentrations/compound; all made from the same culture. We should discuss more after your vacation.</w:t>
      </w:r>
    </w:p>
    <w:p w14:paraId="46A1F9CD" w14:textId="77777777" w:rsidR="004B6250" w:rsidRDefault="004B6250">
      <w:pPr>
        <w:pStyle w:val="CommentText"/>
      </w:pPr>
    </w:p>
    <w:p w14:paraId="4030558A" w14:textId="1B753C81" w:rsidR="004B6250" w:rsidRDefault="004B6250">
      <w:pPr>
        <w:pStyle w:val="CommentText"/>
      </w:pPr>
      <w:r>
        <w:t>After looking figure 7 a bit more, I re-</w:t>
      </w:r>
      <w:proofErr w:type="gramStart"/>
      <w:r>
        <w:t>wrote  some</w:t>
      </w:r>
      <w:proofErr w:type="gramEnd"/>
      <w:r>
        <w:t xml:space="preserve"> of the paragraph above. If I understand the figure correctly, it looks like we get better than 50% accuracy with as few as 3 wells. That is not so bad for screening purposes. Still have to bring this out in the paragraph above and/or discussion.</w:t>
      </w:r>
    </w:p>
    <w:p w14:paraId="70998491" w14:textId="77777777" w:rsidR="004B6250" w:rsidRDefault="004B6250">
      <w:pPr>
        <w:pStyle w:val="CommentText"/>
      </w:pPr>
    </w:p>
    <w:p w14:paraId="35F9ADC1" w14:textId="194E6C32" w:rsidR="004B6250" w:rsidRDefault="004B6250">
      <w:pPr>
        <w:pStyle w:val="CommentText"/>
      </w:pPr>
      <w:r>
        <w:t>Why do we max out at 65% in figure 7, yet the classification methods used above give about 75% accuracy?</w:t>
      </w:r>
    </w:p>
  </w:comment>
  <w:comment w:id="29" w:author="Ellese Cotterill" w:date="2015-09-02T13:16:00Z" w:initials="EC">
    <w:p w14:paraId="38A7B872" w14:textId="48F3EA06" w:rsidR="004B6250" w:rsidRDefault="004B6250">
      <w:pPr>
        <w:pStyle w:val="CommentText"/>
      </w:pPr>
      <w:r>
        <w:rPr>
          <w:rStyle w:val="CommentReference"/>
        </w:rPr>
        <w:annotationRef/>
      </w:r>
      <w:r>
        <w:t xml:space="preserve">The difference between the maximum classification accuracy (65% </w:t>
      </w:r>
      <w:proofErr w:type="spellStart"/>
      <w:r>
        <w:t>vs</w:t>
      </w:r>
      <w:proofErr w:type="spellEnd"/>
      <w:r>
        <w:t xml:space="preserve"> 75%) is because here we’re classifying the age of each plate, rather than the individual wells. I thought doing it that way made more sense</w:t>
      </w:r>
      <w:proofErr w:type="gramStart"/>
      <w:r>
        <w:t>,  since</w:t>
      </w:r>
      <w:proofErr w:type="gramEnd"/>
      <w:r>
        <w:t xml:space="preserve"> if we were just classifying wells, the results would mostly depend on how many wells we have in total, not how many were on each plate - but I could also change it so we're classifying individual wells again if you think  that's a better idea.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1E356" w15:done="0"/>
  <w15:commentEx w15:paraId="209B5190" w15:done="0"/>
  <w15:commentEx w15:paraId="2E348E01" w15:done="0"/>
  <w15:commentEx w15:paraId="79B5D527" w15:done="0"/>
  <w15:commentEx w15:paraId="4FBF41E9" w15:done="0"/>
  <w15:commentEx w15:paraId="23AD287D" w15:done="0"/>
  <w15:commentEx w15:paraId="123A059C" w15:done="0"/>
  <w15:commentEx w15:paraId="2ECBDE68" w15:done="0"/>
  <w15:commentEx w15:paraId="3A97D100" w15:done="0"/>
  <w15:commentEx w15:paraId="0E2B5F9D" w15:done="0"/>
  <w15:commentEx w15:paraId="03D878D1" w15:done="0"/>
  <w15:commentEx w15:paraId="20A9258E" w15:done="0"/>
  <w15:commentEx w15:paraId="4D853447" w15:done="0"/>
  <w15:commentEx w15:paraId="61325515" w15:done="0"/>
  <w15:commentEx w15:paraId="35F9ADC1" w15:done="0"/>
  <w15:commentEx w15:paraId="38A7B87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6C057" w14:textId="77777777" w:rsidR="004B6250" w:rsidRDefault="004B6250" w:rsidP="00A04995">
      <w:pPr>
        <w:spacing w:before="0" w:after="0"/>
      </w:pPr>
      <w:r>
        <w:separator/>
      </w:r>
    </w:p>
  </w:endnote>
  <w:endnote w:type="continuationSeparator" w:id="0">
    <w:p w14:paraId="54AD6596" w14:textId="77777777" w:rsidR="004B6250" w:rsidRDefault="004B6250" w:rsidP="00A049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Segoe UI">
    <w:altName w:val="Times New Roman Bold"/>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694541"/>
      <w:docPartObj>
        <w:docPartGallery w:val="Page Numbers (Bottom of Page)"/>
        <w:docPartUnique/>
      </w:docPartObj>
    </w:sdtPr>
    <w:sdtEndPr>
      <w:rPr>
        <w:noProof/>
      </w:rPr>
    </w:sdtEndPr>
    <w:sdtContent>
      <w:p w14:paraId="129444A5" w14:textId="50AE7E74" w:rsidR="004B6250" w:rsidRDefault="004B6250">
        <w:pPr>
          <w:pStyle w:val="Footer"/>
          <w:jc w:val="center"/>
        </w:pPr>
        <w:r>
          <w:fldChar w:fldCharType="begin"/>
        </w:r>
        <w:r>
          <w:instrText xml:space="preserve"> PAGE   \* MERGEFORMAT </w:instrText>
        </w:r>
        <w:r>
          <w:fldChar w:fldCharType="separate"/>
        </w:r>
        <w:r w:rsidR="007A4C18">
          <w:rPr>
            <w:noProof/>
          </w:rPr>
          <w:t>1</w:t>
        </w:r>
        <w:r>
          <w:rPr>
            <w:noProof/>
          </w:rPr>
          <w:fldChar w:fldCharType="end"/>
        </w:r>
      </w:p>
    </w:sdtContent>
  </w:sdt>
  <w:p w14:paraId="5E76D6FB" w14:textId="77777777" w:rsidR="004B6250" w:rsidRDefault="004B62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8F708" w14:textId="77777777" w:rsidR="004B6250" w:rsidRDefault="004B6250" w:rsidP="00A04995">
      <w:pPr>
        <w:spacing w:before="0" w:after="0"/>
      </w:pPr>
      <w:r>
        <w:separator/>
      </w:r>
    </w:p>
  </w:footnote>
  <w:footnote w:type="continuationSeparator" w:id="0">
    <w:p w14:paraId="3E0AA10C" w14:textId="77777777" w:rsidR="004B6250" w:rsidRDefault="004B6250" w:rsidP="00A04995">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AE80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B630C2E"/>
    <w:multiLevelType w:val="hybridMultilevel"/>
    <w:tmpl w:val="DB281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E5A9"/>
    <w:multiLevelType w:val="multilevel"/>
    <w:tmpl w:val="8DC663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A161088"/>
    <w:multiLevelType w:val="multilevel"/>
    <w:tmpl w:val="1A384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8402D00"/>
    <w:multiLevelType w:val="hybridMultilevel"/>
    <w:tmpl w:val="C94C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fer, Timothy">
    <w15:presenceInfo w15:providerId="AD" w15:userId="S-1-5-21-1339303556-449845944-1601390327-33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2841"/>
    <w:rsid w:val="00013B13"/>
    <w:rsid w:val="00023C8D"/>
    <w:rsid w:val="00041A35"/>
    <w:rsid w:val="00043208"/>
    <w:rsid w:val="000478BD"/>
    <w:rsid w:val="00052179"/>
    <w:rsid w:val="00053940"/>
    <w:rsid w:val="00056332"/>
    <w:rsid w:val="000668C4"/>
    <w:rsid w:val="00070EF9"/>
    <w:rsid w:val="000A097B"/>
    <w:rsid w:val="000A6775"/>
    <w:rsid w:val="000C134E"/>
    <w:rsid w:val="000C3093"/>
    <w:rsid w:val="000D37B7"/>
    <w:rsid w:val="001139C5"/>
    <w:rsid w:val="00115819"/>
    <w:rsid w:val="00123089"/>
    <w:rsid w:val="001258D7"/>
    <w:rsid w:val="00127FBC"/>
    <w:rsid w:val="00141D9D"/>
    <w:rsid w:val="00167DF0"/>
    <w:rsid w:val="00170434"/>
    <w:rsid w:val="00175FA8"/>
    <w:rsid w:val="00181AE5"/>
    <w:rsid w:val="001976ED"/>
    <w:rsid w:val="001C1BF5"/>
    <w:rsid w:val="001D03D8"/>
    <w:rsid w:val="001D211F"/>
    <w:rsid w:val="001D4659"/>
    <w:rsid w:val="001D73B8"/>
    <w:rsid w:val="001D7E83"/>
    <w:rsid w:val="001E0489"/>
    <w:rsid w:val="001E4CA3"/>
    <w:rsid w:val="001F17E7"/>
    <w:rsid w:val="001F2B4A"/>
    <w:rsid w:val="001F38A6"/>
    <w:rsid w:val="001F74B6"/>
    <w:rsid w:val="002073F2"/>
    <w:rsid w:val="00210FBC"/>
    <w:rsid w:val="00212A4B"/>
    <w:rsid w:val="00226EDA"/>
    <w:rsid w:val="002327F9"/>
    <w:rsid w:val="0023448F"/>
    <w:rsid w:val="002447E7"/>
    <w:rsid w:val="002518DD"/>
    <w:rsid w:val="00255A61"/>
    <w:rsid w:val="00257290"/>
    <w:rsid w:val="002609BA"/>
    <w:rsid w:val="00284B7D"/>
    <w:rsid w:val="00294423"/>
    <w:rsid w:val="002C50B7"/>
    <w:rsid w:val="002D4D14"/>
    <w:rsid w:val="002D71F1"/>
    <w:rsid w:val="002E49C8"/>
    <w:rsid w:val="002F31BA"/>
    <w:rsid w:val="002F4DFE"/>
    <w:rsid w:val="003079A3"/>
    <w:rsid w:val="00311FE1"/>
    <w:rsid w:val="00330C7C"/>
    <w:rsid w:val="00334856"/>
    <w:rsid w:val="003365F7"/>
    <w:rsid w:val="00353FCC"/>
    <w:rsid w:val="00367AD8"/>
    <w:rsid w:val="003C02B9"/>
    <w:rsid w:val="003C73CF"/>
    <w:rsid w:val="003F2F3C"/>
    <w:rsid w:val="003F637C"/>
    <w:rsid w:val="00405EC8"/>
    <w:rsid w:val="004104B2"/>
    <w:rsid w:val="00416477"/>
    <w:rsid w:val="00425A89"/>
    <w:rsid w:val="00427FF2"/>
    <w:rsid w:val="004462C1"/>
    <w:rsid w:val="00446EC9"/>
    <w:rsid w:val="00451561"/>
    <w:rsid w:val="00461FF1"/>
    <w:rsid w:val="00473E3E"/>
    <w:rsid w:val="00481697"/>
    <w:rsid w:val="0048561B"/>
    <w:rsid w:val="00485874"/>
    <w:rsid w:val="00486C10"/>
    <w:rsid w:val="00490C15"/>
    <w:rsid w:val="004A75CE"/>
    <w:rsid w:val="004B6250"/>
    <w:rsid w:val="004B6A0B"/>
    <w:rsid w:val="004C5E0E"/>
    <w:rsid w:val="004D515E"/>
    <w:rsid w:val="004E29B3"/>
    <w:rsid w:val="00500B18"/>
    <w:rsid w:val="00511B16"/>
    <w:rsid w:val="0051736B"/>
    <w:rsid w:val="0052443B"/>
    <w:rsid w:val="00526678"/>
    <w:rsid w:val="0053206D"/>
    <w:rsid w:val="00552332"/>
    <w:rsid w:val="00552CA1"/>
    <w:rsid w:val="00553C60"/>
    <w:rsid w:val="005812D1"/>
    <w:rsid w:val="005832EC"/>
    <w:rsid w:val="00590D07"/>
    <w:rsid w:val="005A18B2"/>
    <w:rsid w:val="005B2F3E"/>
    <w:rsid w:val="005C5D7C"/>
    <w:rsid w:val="005C7090"/>
    <w:rsid w:val="005E3B6F"/>
    <w:rsid w:val="005E6F81"/>
    <w:rsid w:val="0060072A"/>
    <w:rsid w:val="00602218"/>
    <w:rsid w:val="00602D08"/>
    <w:rsid w:val="00612EC5"/>
    <w:rsid w:val="006248C4"/>
    <w:rsid w:val="0063440A"/>
    <w:rsid w:val="006419B2"/>
    <w:rsid w:val="006506E7"/>
    <w:rsid w:val="00660F6C"/>
    <w:rsid w:val="0066684F"/>
    <w:rsid w:val="006708DD"/>
    <w:rsid w:val="00675BB0"/>
    <w:rsid w:val="00680984"/>
    <w:rsid w:val="00683D2D"/>
    <w:rsid w:val="006964CB"/>
    <w:rsid w:val="00696BAD"/>
    <w:rsid w:val="006A2F76"/>
    <w:rsid w:val="006D3651"/>
    <w:rsid w:val="006E0D09"/>
    <w:rsid w:val="006E1FC5"/>
    <w:rsid w:val="006F3F24"/>
    <w:rsid w:val="006F580E"/>
    <w:rsid w:val="006F5C7C"/>
    <w:rsid w:val="00700497"/>
    <w:rsid w:val="007114B3"/>
    <w:rsid w:val="007234E2"/>
    <w:rsid w:val="007308B4"/>
    <w:rsid w:val="00740850"/>
    <w:rsid w:val="00751CB2"/>
    <w:rsid w:val="00763672"/>
    <w:rsid w:val="0077463F"/>
    <w:rsid w:val="0078143C"/>
    <w:rsid w:val="00784D58"/>
    <w:rsid w:val="00785C3F"/>
    <w:rsid w:val="00793F28"/>
    <w:rsid w:val="0079494B"/>
    <w:rsid w:val="007A0B30"/>
    <w:rsid w:val="007A4C18"/>
    <w:rsid w:val="007B3BA7"/>
    <w:rsid w:val="007C5061"/>
    <w:rsid w:val="007D21C3"/>
    <w:rsid w:val="007D5427"/>
    <w:rsid w:val="007E7B1B"/>
    <w:rsid w:val="00804418"/>
    <w:rsid w:val="00805F41"/>
    <w:rsid w:val="00820A4F"/>
    <w:rsid w:val="00843CB8"/>
    <w:rsid w:val="00855239"/>
    <w:rsid w:val="008630B2"/>
    <w:rsid w:val="00870A63"/>
    <w:rsid w:val="0088293E"/>
    <w:rsid w:val="00885F48"/>
    <w:rsid w:val="00893B55"/>
    <w:rsid w:val="008B0AC9"/>
    <w:rsid w:val="008B69CF"/>
    <w:rsid w:val="008D4DC4"/>
    <w:rsid w:val="008D6863"/>
    <w:rsid w:val="008F5817"/>
    <w:rsid w:val="00915F40"/>
    <w:rsid w:val="00933707"/>
    <w:rsid w:val="00951B7B"/>
    <w:rsid w:val="00952BC3"/>
    <w:rsid w:val="00960E3D"/>
    <w:rsid w:val="0096439B"/>
    <w:rsid w:val="00972CF9"/>
    <w:rsid w:val="009A1711"/>
    <w:rsid w:val="009A4510"/>
    <w:rsid w:val="009A465F"/>
    <w:rsid w:val="009A4BA9"/>
    <w:rsid w:val="009B2868"/>
    <w:rsid w:val="009C0180"/>
    <w:rsid w:val="009D029F"/>
    <w:rsid w:val="009E2C9B"/>
    <w:rsid w:val="009E5A9D"/>
    <w:rsid w:val="009F0BAB"/>
    <w:rsid w:val="00A03EA7"/>
    <w:rsid w:val="00A046BB"/>
    <w:rsid w:val="00A04995"/>
    <w:rsid w:val="00A06BCC"/>
    <w:rsid w:val="00A1581A"/>
    <w:rsid w:val="00A15E20"/>
    <w:rsid w:val="00A16FBB"/>
    <w:rsid w:val="00A6145A"/>
    <w:rsid w:val="00A633FB"/>
    <w:rsid w:val="00A63B4D"/>
    <w:rsid w:val="00A73944"/>
    <w:rsid w:val="00A77BAC"/>
    <w:rsid w:val="00A84680"/>
    <w:rsid w:val="00AB3105"/>
    <w:rsid w:val="00AC332F"/>
    <w:rsid w:val="00AD33AF"/>
    <w:rsid w:val="00AE2968"/>
    <w:rsid w:val="00AF5D8E"/>
    <w:rsid w:val="00AF603A"/>
    <w:rsid w:val="00AF635D"/>
    <w:rsid w:val="00B25709"/>
    <w:rsid w:val="00B41562"/>
    <w:rsid w:val="00B51AB8"/>
    <w:rsid w:val="00B77F7E"/>
    <w:rsid w:val="00B86B75"/>
    <w:rsid w:val="00B9039D"/>
    <w:rsid w:val="00B97EC0"/>
    <w:rsid w:val="00BA2313"/>
    <w:rsid w:val="00BB2D85"/>
    <w:rsid w:val="00BB3B2F"/>
    <w:rsid w:val="00BC48D5"/>
    <w:rsid w:val="00BF0885"/>
    <w:rsid w:val="00BF647B"/>
    <w:rsid w:val="00BF66DF"/>
    <w:rsid w:val="00C0167A"/>
    <w:rsid w:val="00C1704B"/>
    <w:rsid w:val="00C24E91"/>
    <w:rsid w:val="00C36279"/>
    <w:rsid w:val="00C375AA"/>
    <w:rsid w:val="00C376DE"/>
    <w:rsid w:val="00C53B74"/>
    <w:rsid w:val="00C575EA"/>
    <w:rsid w:val="00C60593"/>
    <w:rsid w:val="00C7227A"/>
    <w:rsid w:val="00C8530A"/>
    <w:rsid w:val="00C87290"/>
    <w:rsid w:val="00CD6F72"/>
    <w:rsid w:val="00CE6F86"/>
    <w:rsid w:val="00D03E2D"/>
    <w:rsid w:val="00D14D0D"/>
    <w:rsid w:val="00D20C82"/>
    <w:rsid w:val="00D20ED6"/>
    <w:rsid w:val="00D24EA8"/>
    <w:rsid w:val="00D34CF0"/>
    <w:rsid w:val="00D537F9"/>
    <w:rsid w:val="00D55806"/>
    <w:rsid w:val="00D878AB"/>
    <w:rsid w:val="00DA1F48"/>
    <w:rsid w:val="00DA3E99"/>
    <w:rsid w:val="00DB0694"/>
    <w:rsid w:val="00DB42CB"/>
    <w:rsid w:val="00DB6D36"/>
    <w:rsid w:val="00DD4E32"/>
    <w:rsid w:val="00DD7BD0"/>
    <w:rsid w:val="00E01236"/>
    <w:rsid w:val="00E06617"/>
    <w:rsid w:val="00E07597"/>
    <w:rsid w:val="00E229A2"/>
    <w:rsid w:val="00E315A3"/>
    <w:rsid w:val="00E37147"/>
    <w:rsid w:val="00E46DD6"/>
    <w:rsid w:val="00E47F94"/>
    <w:rsid w:val="00E52897"/>
    <w:rsid w:val="00E53844"/>
    <w:rsid w:val="00E95B9F"/>
    <w:rsid w:val="00E965DD"/>
    <w:rsid w:val="00EB4BC3"/>
    <w:rsid w:val="00EB7E6F"/>
    <w:rsid w:val="00EC053F"/>
    <w:rsid w:val="00EE01EB"/>
    <w:rsid w:val="00EE1DCE"/>
    <w:rsid w:val="00EF7A71"/>
    <w:rsid w:val="00F03A06"/>
    <w:rsid w:val="00F05C9C"/>
    <w:rsid w:val="00F17939"/>
    <w:rsid w:val="00F23280"/>
    <w:rsid w:val="00F34987"/>
    <w:rsid w:val="00F44390"/>
    <w:rsid w:val="00F4707A"/>
    <w:rsid w:val="00F47524"/>
    <w:rsid w:val="00F5547D"/>
    <w:rsid w:val="00F626CE"/>
    <w:rsid w:val="00F73CED"/>
    <w:rsid w:val="00F87C11"/>
    <w:rsid w:val="00F972F3"/>
    <w:rsid w:val="00FA3644"/>
    <w:rsid w:val="00FA3910"/>
    <w:rsid w:val="00FD16BB"/>
    <w:rsid w:val="00FE0764"/>
    <w:rsid w:val="00FE1452"/>
    <w:rsid w:val="00FE6B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F6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EE1DCE"/>
    <w:rPr>
      <w:sz w:val="16"/>
      <w:szCs w:val="16"/>
    </w:rPr>
  </w:style>
  <w:style w:type="paragraph" w:styleId="CommentText">
    <w:name w:val="annotation text"/>
    <w:basedOn w:val="Normal"/>
    <w:link w:val="CommentTextChar"/>
    <w:semiHidden/>
    <w:unhideWhenUsed/>
    <w:rsid w:val="00EE1DCE"/>
    <w:rPr>
      <w:sz w:val="20"/>
      <w:szCs w:val="20"/>
    </w:rPr>
  </w:style>
  <w:style w:type="character" w:customStyle="1" w:styleId="CommentTextChar">
    <w:name w:val="Comment Text Char"/>
    <w:basedOn w:val="DefaultParagraphFont"/>
    <w:link w:val="CommentText"/>
    <w:semiHidden/>
    <w:rsid w:val="00EE1DCE"/>
    <w:rPr>
      <w:sz w:val="20"/>
      <w:szCs w:val="20"/>
    </w:rPr>
  </w:style>
  <w:style w:type="paragraph" w:styleId="CommentSubject">
    <w:name w:val="annotation subject"/>
    <w:basedOn w:val="CommentText"/>
    <w:next w:val="CommentText"/>
    <w:link w:val="CommentSubjectChar"/>
    <w:semiHidden/>
    <w:unhideWhenUsed/>
    <w:rsid w:val="00EE1DCE"/>
    <w:rPr>
      <w:b/>
      <w:bCs/>
    </w:rPr>
  </w:style>
  <w:style w:type="character" w:customStyle="1" w:styleId="CommentSubjectChar">
    <w:name w:val="Comment Subject Char"/>
    <w:basedOn w:val="CommentTextChar"/>
    <w:link w:val="CommentSubject"/>
    <w:semiHidden/>
    <w:rsid w:val="00EE1DCE"/>
    <w:rPr>
      <w:b/>
      <w:bCs/>
      <w:sz w:val="20"/>
      <w:szCs w:val="20"/>
    </w:rPr>
  </w:style>
  <w:style w:type="paragraph" w:styleId="BalloonText">
    <w:name w:val="Balloon Text"/>
    <w:basedOn w:val="Normal"/>
    <w:link w:val="BalloonTextChar"/>
    <w:semiHidden/>
    <w:unhideWhenUsed/>
    <w:rsid w:val="00EE1DC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E1DCE"/>
    <w:rPr>
      <w:rFonts w:ascii="Segoe UI" w:hAnsi="Segoe UI" w:cs="Segoe UI"/>
      <w:sz w:val="18"/>
      <w:szCs w:val="18"/>
    </w:rPr>
  </w:style>
  <w:style w:type="character" w:styleId="Hyperlink">
    <w:name w:val="Hyperlink"/>
    <w:basedOn w:val="DefaultParagraphFont"/>
    <w:rsid w:val="00E37147"/>
    <w:rPr>
      <w:color w:val="0000FF" w:themeColor="hyperlink"/>
      <w:u w:val="single"/>
    </w:rPr>
  </w:style>
  <w:style w:type="character" w:styleId="FollowedHyperlink">
    <w:name w:val="FollowedHyperlink"/>
    <w:basedOn w:val="DefaultParagraphFont"/>
    <w:rsid w:val="00855239"/>
    <w:rPr>
      <w:color w:val="800080" w:themeColor="followedHyperlink"/>
      <w:u w:val="single"/>
    </w:rPr>
  </w:style>
  <w:style w:type="table" w:styleId="TableGrid">
    <w:name w:val="Table Grid"/>
    <w:basedOn w:val="TableNormal"/>
    <w:rsid w:val="00FE1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rsid w:val="00481697"/>
    <w:pPr>
      <w:spacing w:before="0" w:after="200"/>
    </w:pPr>
    <w:rPr>
      <w:i/>
      <w:iCs/>
      <w:color w:val="1F497D" w:themeColor="text2"/>
      <w:sz w:val="18"/>
      <w:szCs w:val="18"/>
    </w:rPr>
  </w:style>
  <w:style w:type="paragraph" w:styleId="ListParagraph">
    <w:name w:val="List Paragraph"/>
    <w:basedOn w:val="Normal"/>
    <w:rsid w:val="00481697"/>
    <w:pPr>
      <w:ind w:left="720"/>
      <w:contextualSpacing/>
    </w:pPr>
  </w:style>
  <w:style w:type="paragraph" w:styleId="Revision">
    <w:name w:val="Revision"/>
    <w:hidden/>
    <w:semiHidden/>
    <w:rsid w:val="00DA1F48"/>
    <w:pPr>
      <w:spacing w:after="0"/>
    </w:pPr>
  </w:style>
  <w:style w:type="table" w:styleId="ColorfulGrid">
    <w:name w:val="Colorful Grid"/>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nhideWhenUsed/>
    <w:rsid w:val="00A04995"/>
    <w:pPr>
      <w:tabs>
        <w:tab w:val="center" w:pos="4320"/>
        <w:tab w:val="right" w:pos="8640"/>
      </w:tabs>
      <w:spacing w:before="0" w:after="0"/>
    </w:pPr>
  </w:style>
  <w:style w:type="character" w:customStyle="1" w:styleId="HeaderChar">
    <w:name w:val="Header Char"/>
    <w:basedOn w:val="DefaultParagraphFont"/>
    <w:link w:val="Header"/>
    <w:rsid w:val="00A04995"/>
  </w:style>
  <w:style w:type="paragraph" w:styleId="Footer">
    <w:name w:val="footer"/>
    <w:basedOn w:val="Normal"/>
    <w:link w:val="FooterChar"/>
    <w:uiPriority w:val="99"/>
    <w:unhideWhenUsed/>
    <w:rsid w:val="00A04995"/>
    <w:pPr>
      <w:tabs>
        <w:tab w:val="center" w:pos="4320"/>
        <w:tab w:val="right" w:pos="8640"/>
      </w:tabs>
      <w:spacing w:before="0" w:after="0"/>
    </w:pPr>
  </w:style>
  <w:style w:type="character" w:customStyle="1" w:styleId="FooterChar">
    <w:name w:val="Footer Char"/>
    <w:basedOn w:val="DefaultParagraphFont"/>
    <w:link w:val="Footer"/>
    <w:uiPriority w:val="99"/>
    <w:rsid w:val="00A049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EE1DCE"/>
    <w:rPr>
      <w:sz w:val="16"/>
      <w:szCs w:val="16"/>
    </w:rPr>
  </w:style>
  <w:style w:type="paragraph" w:styleId="CommentText">
    <w:name w:val="annotation text"/>
    <w:basedOn w:val="Normal"/>
    <w:link w:val="CommentTextChar"/>
    <w:semiHidden/>
    <w:unhideWhenUsed/>
    <w:rsid w:val="00EE1DCE"/>
    <w:rPr>
      <w:sz w:val="20"/>
      <w:szCs w:val="20"/>
    </w:rPr>
  </w:style>
  <w:style w:type="character" w:customStyle="1" w:styleId="CommentTextChar">
    <w:name w:val="Comment Text Char"/>
    <w:basedOn w:val="DefaultParagraphFont"/>
    <w:link w:val="CommentText"/>
    <w:semiHidden/>
    <w:rsid w:val="00EE1DCE"/>
    <w:rPr>
      <w:sz w:val="20"/>
      <w:szCs w:val="20"/>
    </w:rPr>
  </w:style>
  <w:style w:type="paragraph" w:styleId="CommentSubject">
    <w:name w:val="annotation subject"/>
    <w:basedOn w:val="CommentText"/>
    <w:next w:val="CommentText"/>
    <w:link w:val="CommentSubjectChar"/>
    <w:semiHidden/>
    <w:unhideWhenUsed/>
    <w:rsid w:val="00EE1DCE"/>
    <w:rPr>
      <w:b/>
      <w:bCs/>
    </w:rPr>
  </w:style>
  <w:style w:type="character" w:customStyle="1" w:styleId="CommentSubjectChar">
    <w:name w:val="Comment Subject Char"/>
    <w:basedOn w:val="CommentTextChar"/>
    <w:link w:val="CommentSubject"/>
    <w:semiHidden/>
    <w:rsid w:val="00EE1DCE"/>
    <w:rPr>
      <w:b/>
      <w:bCs/>
      <w:sz w:val="20"/>
      <w:szCs w:val="20"/>
    </w:rPr>
  </w:style>
  <w:style w:type="paragraph" w:styleId="BalloonText">
    <w:name w:val="Balloon Text"/>
    <w:basedOn w:val="Normal"/>
    <w:link w:val="BalloonTextChar"/>
    <w:semiHidden/>
    <w:unhideWhenUsed/>
    <w:rsid w:val="00EE1DC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E1DCE"/>
    <w:rPr>
      <w:rFonts w:ascii="Segoe UI" w:hAnsi="Segoe UI" w:cs="Segoe UI"/>
      <w:sz w:val="18"/>
      <w:szCs w:val="18"/>
    </w:rPr>
  </w:style>
  <w:style w:type="character" w:styleId="Hyperlink">
    <w:name w:val="Hyperlink"/>
    <w:basedOn w:val="DefaultParagraphFont"/>
    <w:rsid w:val="00E37147"/>
    <w:rPr>
      <w:color w:val="0000FF" w:themeColor="hyperlink"/>
      <w:u w:val="single"/>
    </w:rPr>
  </w:style>
  <w:style w:type="character" w:styleId="FollowedHyperlink">
    <w:name w:val="FollowedHyperlink"/>
    <w:basedOn w:val="DefaultParagraphFont"/>
    <w:rsid w:val="00855239"/>
    <w:rPr>
      <w:color w:val="800080" w:themeColor="followedHyperlink"/>
      <w:u w:val="single"/>
    </w:rPr>
  </w:style>
  <w:style w:type="table" w:styleId="TableGrid">
    <w:name w:val="Table Grid"/>
    <w:basedOn w:val="TableNormal"/>
    <w:rsid w:val="00FE1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rsid w:val="00481697"/>
    <w:pPr>
      <w:spacing w:before="0" w:after="200"/>
    </w:pPr>
    <w:rPr>
      <w:i/>
      <w:iCs/>
      <w:color w:val="1F497D" w:themeColor="text2"/>
      <w:sz w:val="18"/>
      <w:szCs w:val="18"/>
    </w:rPr>
  </w:style>
  <w:style w:type="paragraph" w:styleId="ListParagraph">
    <w:name w:val="List Paragraph"/>
    <w:basedOn w:val="Normal"/>
    <w:rsid w:val="00481697"/>
    <w:pPr>
      <w:ind w:left="720"/>
      <w:contextualSpacing/>
    </w:pPr>
  </w:style>
  <w:style w:type="paragraph" w:styleId="Revision">
    <w:name w:val="Revision"/>
    <w:hidden/>
    <w:semiHidden/>
    <w:rsid w:val="00DA1F48"/>
    <w:pPr>
      <w:spacing w:after="0"/>
    </w:pPr>
  </w:style>
  <w:style w:type="table" w:styleId="ColorfulGrid">
    <w:name w:val="Colorful Grid"/>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nhideWhenUsed/>
    <w:rsid w:val="00A04995"/>
    <w:pPr>
      <w:tabs>
        <w:tab w:val="center" w:pos="4320"/>
        <w:tab w:val="right" w:pos="8640"/>
      </w:tabs>
      <w:spacing w:before="0" w:after="0"/>
    </w:pPr>
  </w:style>
  <w:style w:type="character" w:customStyle="1" w:styleId="HeaderChar">
    <w:name w:val="Header Char"/>
    <w:basedOn w:val="DefaultParagraphFont"/>
    <w:link w:val="Header"/>
    <w:rsid w:val="00A04995"/>
  </w:style>
  <w:style w:type="paragraph" w:styleId="Footer">
    <w:name w:val="footer"/>
    <w:basedOn w:val="Normal"/>
    <w:link w:val="FooterChar"/>
    <w:uiPriority w:val="99"/>
    <w:unhideWhenUsed/>
    <w:rsid w:val="00A04995"/>
    <w:pPr>
      <w:tabs>
        <w:tab w:val="center" w:pos="4320"/>
        <w:tab w:val="right" w:pos="8640"/>
      </w:tabs>
      <w:spacing w:before="0" w:after="0"/>
    </w:pPr>
  </w:style>
  <w:style w:type="character" w:customStyle="1" w:styleId="FooterChar">
    <w:name w:val="Footer Char"/>
    <w:basedOn w:val="DefaultParagraphFont"/>
    <w:link w:val="Footer"/>
    <w:uiPriority w:val="99"/>
    <w:rsid w:val="00A0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67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CF6BB-46AF-394A-89B6-D803E893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4591</Words>
  <Characters>26170</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Shafer, Timothy</dc:creator>
  <cp:lastModifiedBy>Stephen Eglen</cp:lastModifiedBy>
  <cp:revision>2</cp:revision>
  <cp:lastPrinted>2015-09-24T10:08:00Z</cp:lastPrinted>
  <dcterms:created xsi:type="dcterms:W3CDTF">2015-09-24T11:05:00Z</dcterms:created>
  <dcterms:modified xsi:type="dcterms:W3CDTF">2015-09-24T11:05:00Z</dcterms:modified>
</cp:coreProperties>
</file>