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to-improve-research-practices-in-the-life-sciences"/>
      <w:bookmarkEnd w:id="21"/>
      <w:r>
        <w:t xml:space="preserve">Recent developments in scholarly publishing to improve research practices in the life sciences</w:t>
      </w:r>
    </w:p>
    <w:p>
      <w:pPr>
        <w:pStyle w:val="FirstParagraph"/>
      </w:pPr>
    </w:p>
    <w:p>
      <w:pPr>
        <w:pStyle w:val="BodyText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</w:t>
      </w:r>
      <w:r>
        <w:t xml:space="preserve"> </w:t>
      </w:r>
      <w:r>
        <w:rPr>
          <w:i/>
        </w:rPr>
        <w:t xml:space="preserve">that we believe will improve</w:t>
      </w:r>
      <w:r>
        <w:rPr>
          <w:i/>
        </w:rPr>
        <w:t xml:space="preserve"> </w:t>
      </w:r>
      <w:r>
        <w:rPr>
          <w:i/>
        </w:rPr>
        <w:t xml:space="preserve">the working environment and career prospects for life scientists</w:t>
      </w:r>
      <w:r>
        <w:t xml:space="preserve">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journals'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reproducibility,</w:t>
      </w:r>
      <w:r>
        <w:t xml:space="preserve"> </w:t>
      </w:r>
      <w:r>
        <w:rPr>
          <w:i/>
        </w:rPr>
        <w:t xml:space="preserve">as authors feel under</w:t>
      </w:r>
      <w:r>
        <w:rPr>
          <w:i/>
        </w:rPr>
        <w:t xml:space="preserve"> </w:t>
      </w:r>
      <w:r>
        <w:rPr>
          <w:i/>
        </w:rPr>
        <w:t xml:space="preserve">intense pressure to publish to avoid being scooped (see below).</w:t>
      </w:r>
      <w:r>
        <w:rPr>
          <w:i/>
        </w:rPr>
        <w:t xml:space="preserve"> </w:t>
      </w:r>
      <w:r>
        <w:rPr>
          <w:i/>
        </w:rPr>
        <w:t xml:space="preserve">Further, space limitations imposed by print journals inhibit adequate</w:t>
      </w:r>
      <w:r>
        <w:rPr>
          <w:i/>
        </w:rPr>
        <w:t xml:space="preserve"> </w:t>
      </w:r>
      <w:r>
        <w:rPr>
          <w:i/>
        </w:rPr>
        <w:t xml:space="preserve">method descriptions, with key details relegated to supplementary</w:t>
      </w:r>
      <w:r>
        <w:rPr>
          <w:i/>
        </w:rPr>
        <w:t xml:space="preserve"> </w:t>
      </w:r>
      <w:r>
        <w:rPr>
          <w:i/>
        </w:rPr>
        <w:t xml:space="preserve">information which is rarely scrutinised to the same degree as the main</w:t>
      </w:r>
      <w:r>
        <w:rPr>
          <w:i/>
        </w:rPr>
        <w:t xml:space="preserve"> </w:t>
      </w:r>
      <w:r>
        <w:rPr>
          <w:i/>
        </w:rPr>
        <w:t xml:space="preserve">paper.</w:t>
      </w:r>
      <w:r>
        <w:t xml:space="preserve"> </w:t>
      </w:r>
      <w:r>
        <w:t xml:space="preserve">However, here we list four encouraging developments that should</w:t>
      </w:r>
      <w:r>
        <w:t xml:space="preserve"> </w:t>
      </w:r>
      <w:r>
        <w:t xml:space="preserve">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</w:t>
      </w:r>
      <w:r>
        <w:t xml:space="preserve"> </w:t>
      </w:r>
      <w:r>
        <w:rPr>
          <w:i/>
        </w:rPr>
        <w:t xml:space="preserve">can be submitted to the same</w:t>
      </w:r>
      <w:r>
        <w:rPr>
          <w:i/>
        </w:rPr>
        <w:t xml:space="preserve"> </w:t>
      </w:r>
      <w:r>
        <w:rPr>
          <w:i/>
        </w:rPr>
        <w:t xml:space="preserve">journal</w:t>
      </w:r>
      <w:r>
        <w:t xml:space="preserve"> </w:t>
      </w:r>
      <w:r>
        <w:t xml:space="preserve">which describes the results of the study using the</w:t>
      </w:r>
      <w:r>
        <w:t xml:space="preserve"> </w:t>
      </w:r>
      <w:r>
        <w:t xml:space="preserve">pre-registered methods. (Additional findings can be reported, but are</w:t>
      </w:r>
      <w:r>
        <w:t xml:space="preserve"> </w:t>
      </w:r>
      <w:r>
        <w:t xml:space="preserve">clearly marked as such.)</w:t>
      </w:r>
      <w:r>
        <w:t xml:space="preserve"> </w:t>
      </w:r>
      <w:r>
        <w:rPr>
          <w:i/>
        </w:rPr>
        <w:t xml:space="preserve">Reviewer and editorial</w:t>
      </w:r>
      <w:r>
        <w:rPr>
          <w:i/>
        </w:rPr>
        <w:t xml:space="preserve"> </w:t>
      </w:r>
      <w:r>
        <w:rPr>
          <w:i/>
        </w:rPr>
        <w:t xml:space="preserve">decisions on whether to accept the second paper is made on the</w:t>
      </w:r>
      <w:r>
        <w:rPr>
          <w:i/>
        </w:rPr>
        <w:t xml:space="preserve"> </w:t>
      </w:r>
      <w:r>
        <w:rPr>
          <w:i/>
        </w:rPr>
        <w:t xml:space="preserve">technical correctness of the paper rather than the importance or</w:t>
      </w:r>
      <w:r>
        <w:rPr>
          <w:i/>
        </w:rPr>
        <w:t xml:space="preserve"> </w:t>
      </w:r>
      <w:r>
        <w:rPr>
          <w:i/>
        </w:rPr>
        <w:t xml:space="preserve">novelty of the results.</w:t>
      </w:r>
      <w:r>
        <w:t xml:space="preserve"> </w:t>
      </w:r>
      <w:r>
        <w:t xml:space="preserve">Preregistration is most prevalent today in</w:t>
      </w:r>
      <w:r>
        <w:t xml:space="preserve"> </w:t>
      </w:r>
      <w:r>
        <w:t xml:space="preserve">psychology; The Center for Open Science 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 popularise this notion more</w:t>
      </w:r>
      <w:r>
        <w:t xml:space="preserve"> </w:t>
      </w:r>
      <w:r>
        <w:t xml:space="preserve">broadly. Initial analysis of results from preregistered papers</w:t>
      </w:r>
      <w:r>
        <w:t xml:space="preserve"> </w:t>
      </w:r>
      <w:r>
        <w:t xml:space="preserve">indicates, perhaps reassuringly, a marked increase in null results</w:t>
      </w:r>
      <w:r>
        <w:t xml:space="preserve"> </w:t>
      </w:r>
      <w:r>
        <w:t xml:space="preserve">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 "data papers" (a paper that simply</w:t>
      </w:r>
      <w:r>
        <w:t xml:space="preserve"> </w:t>
      </w:r>
      <w:r>
        <w:t xml:space="preserve">describes the data) are becoming more 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  <w:r>
        <w:t xml:space="preserve"> </w:t>
      </w:r>
      <w:r>
        <w:rPr>
          <w:i/>
        </w:rPr>
        <w:t xml:space="preserve">Journals are also providing</w:t>
      </w:r>
      <w:r>
        <w:rPr>
          <w:i/>
        </w:rPr>
        <w:t xml:space="preserve"> </w:t>
      </w:r>
      <w:r>
        <w:rPr>
          <w:i/>
        </w:rPr>
        <w:t xml:space="preserve">guidelines for authors to follow which should improve reproducibility</w:t>
      </w:r>
      <w:r>
        <w:rPr>
          <w:i/>
        </w:rPr>
        <w:t xml:space="preserve"> </w:t>
      </w:r>
      <w:r>
        <w:rPr>
          <w:i/>
        </w:rPr>
        <w:t xml:space="preserve">and transparency</w:t>
      </w:r>
      <w:r>
        <w:rPr>
          <w:i/>
        </w:rPr>
        <w:t xml:space="preserve"> </w:t>
      </w:r>
      <w:r>
        <w:rPr>
          <w:i/>
        </w:rPr>
        <w:t xml:space="preserve">[9]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[10]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[11,12]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[13]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[14]</w:t>
      </w:r>
      <w:r>
        <w:t xml:space="preserve">.</w:t>
      </w:r>
      <w:r>
        <w:t xml:space="preserve"> </w:t>
      </w:r>
      <w:r>
        <w:rPr>
          <w:i/>
        </w:rPr>
        <w:t xml:space="preserve">Further, some</w:t>
      </w:r>
      <w:r>
        <w:rPr>
          <w:i/>
        </w:rPr>
        <w:t xml:space="preserve"> </w:t>
      </w:r>
      <w:r>
        <w:rPr>
          <w:i/>
        </w:rPr>
        <w:t xml:space="preserve">journals are experimenting with re-running of code "in the cloud"</w:t>
      </w:r>
      <w:r>
        <w:rPr>
          <w:i/>
        </w:rPr>
        <w:t xml:space="preserve"> </w:t>
      </w:r>
      <w:r>
        <w:rPr>
          <w:i/>
        </w:rPr>
        <w:t xml:space="preserve">using services such as Cloud Ocean</w:t>
      </w:r>
      <w:r>
        <w:rPr>
          <w:i/>
        </w:rPr>
        <w:t xml:space="preserve"> </w:t>
      </w:r>
      <w:r>
        <w:rPr>
          <w:i/>
        </w:rPr>
        <w:t xml:space="preserve">[15]</w:t>
      </w:r>
      <w:r>
        <w:rPr>
          <w:i/>
        </w:rP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[16]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[17]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</w:t>
      </w:r>
      <w:r>
        <w:t xml:space="preserve"> </w:t>
      </w:r>
      <w:r>
        <w:rPr>
          <w:i/>
        </w:rPr>
        <w:t xml:space="preserve">and thus automatically curate a list of works, not just</w:t>
      </w:r>
      <w:r>
        <w:rPr>
          <w:i/>
        </w:rPr>
        <w:t xml:space="preserve"> </w:t>
      </w:r>
      <w:r>
        <w:rPr>
          <w:i/>
        </w:rPr>
        <w:t xml:space="preserve">papers, in one place. Such indentifiers should also reduce mistaken</w:t>
      </w:r>
      <w:r>
        <w:rPr>
          <w:i/>
        </w:rPr>
        <w:t xml:space="preserve"> </w:t>
      </w:r>
      <w:r>
        <w:rPr>
          <w:i/>
        </w:rPr>
        <w:t xml:space="preserve">identity.</w:t>
      </w:r>
      <w:r>
        <w:t xml:space="preserve"> </w:t>
      </w:r>
      <w:r>
        <w:t xml:space="preserve">. Many journals now require that</w:t>
      </w:r>
      <w:r>
        <w:t xml:space="preserve"> </w:t>
      </w:r>
      <w:r>
        <w:t xml:space="preserve">at least one author verifies their identity as author using ORCiD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[19]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currently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  <w:r>
        <w:t xml:space="preserve"> </w:t>
      </w:r>
      <w:r>
        <w:rPr>
          <w:i/>
        </w:rPr>
        <w:t xml:space="preserve">We expect most UK</w:t>
      </w:r>
      <w:r>
        <w:rPr>
          <w:i/>
        </w:rPr>
        <w:t xml:space="preserve"> </w:t>
      </w:r>
      <w:r>
        <w:rPr>
          <w:i/>
        </w:rPr>
        <w:t xml:space="preserve">universities to now sign DORA, or equivalent, due to the Wellcome</w:t>
      </w:r>
      <w:r>
        <w:rPr>
          <w:i/>
        </w:rPr>
        <w:t xml:space="preserve"> </w:t>
      </w:r>
      <w:r>
        <w:rPr>
          <w:i/>
        </w:rPr>
        <w:t xml:space="preserve">Trust's revised policy (November 2018) requiring institutions to</w:t>
      </w:r>
      <w:r>
        <w:rPr>
          <w:i/>
        </w:rPr>
        <w:t xml:space="preserve"> </w:t>
      </w:r>
      <w:r>
        <w:rPr>
          <w:i/>
        </w:rPr>
        <w:t xml:space="preserve">sign. Assuming institutions take this seriously, evaluating papers by</w:t>
      </w:r>
      <w:r>
        <w:rPr>
          <w:i/>
        </w:rPr>
        <w:t xml:space="preserve"> </w:t>
      </w:r>
      <w:r>
        <w:rPr>
          <w:i/>
        </w:rPr>
        <w:t xml:space="preserve">their content rather than where they are published should reduce the</w:t>
      </w:r>
      <w:r>
        <w:rPr>
          <w:i/>
        </w:rPr>
        <w:t xml:space="preserve"> </w:t>
      </w:r>
      <w:r>
        <w:rPr>
          <w:i/>
        </w:rPr>
        <w:t xml:space="preserve">pressure to publish in top-tier journals.</w:t>
      </w:r>
      <w:r>
        <w:t xml:space="preserve"> 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</w:t>
      </w:r>
      <w:r>
        <w:t xml:space="preserve"> </w:t>
      </w:r>
      <w:r>
        <w:t xml:space="preserve">[20]</w:t>
      </w:r>
      <w:r>
        <w:t xml:space="preserve">.</w:t>
      </w:r>
      <w:r>
        <w:t xml:space="preserve"> </w:t>
      </w:r>
      <w:r>
        <w:rPr>
          <w:i/>
        </w:rPr>
        <w:t xml:space="preserve">Publons</w:t>
      </w:r>
      <w:r>
        <w:t xml:space="preserve"> 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https://publons.com/</w:t>
        </w:r>
      </w:hyperlink>
      <w:r>
        <w:t xml:space="preserve">) allows</w:t>
      </w:r>
      <w:r>
        <w:t xml:space="preserve"> </w:t>
      </w:r>
      <w:r>
        <w:t xml:space="preserve">reviewers to 'claim' metadata records on their profile for peer</w:t>
      </w:r>
      <w:r>
        <w:t xml:space="preserve"> </w:t>
      </w:r>
      <w:r>
        <w:t xml:space="preserve">reviewing and editorial work they have done.</w:t>
      </w:r>
      <w:r>
        <w:t xml:space="preserve"> </w:t>
      </w:r>
      <w:r>
        <w:rPr>
          <w:i/>
        </w:rPr>
        <w:t xml:space="preserve">Publishing reviewer</w:t>
      </w:r>
      <w:r>
        <w:rPr>
          <w:i/>
        </w:rPr>
        <w:t xml:space="preserve"> </w:t>
      </w:r>
      <w:r>
        <w:rPr>
          <w:i/>
        </w:rPr>
        <w:t xml:space="preserve">reports, whether signed or not, should increase transparency in the</w:t>
      </w:r>
      <w:r>
        <w:rPr>
          <w:i/>
        </w:rPr>
        <w:t xml:space="preserve"> </w:t>
      </w:r>
      <w:r>
        <w:rPr>
          <w:i/>
        </w:rPr>
        <w:t xml:space="preserve">reviewing process.</w:t>
      </w:r>
      <w:r>
        <w:t xml:space="preserve"> 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approach to publishing complements preprinting by ensuring the paper</w:t>
      </w:r>
      <w:r>
        <w:rPr>
          <w:i/>
        </w:rPr>
        <w:t xml:space="preserve"> </w:t>
      </w:r>
      <w:r>
        <w:rPr>
          <w:i/>
        </w:rPr>
        <w:t xml:space="preserve">is publicly available whilst undergoing peer review.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 'desk reject' 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[21]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 "format free" submissions</w:t>
      </w:r>
      <w:r>
        <w:t xml:space="preserve"> </w:t>
      </w:r>
      <w:r>
        <w:t xml:space="preserve">[22]</w:t>
      </w:r>
      <w:r>
        <w:t xml:space="preserve">,</w:t>
      </w:r>
      <w:r>
        <w:t xml:space="preserve"> </w:t>
      </w:r>
      <w:r>
        <w:rPr>
          <w:i/>
        </w:rPr>
        <w:t xml:space="preserve">and hence saving researchers from tedious</w:t>
      </w:r>
      <w:r>
        <w:rPr>
          <w:i/>
        </w:rPr>
        <w:t xml:space="preserve"> </w:t>
      </w:r>
      <w:r>
        <w:rPr>
          <w:i/>
        </w:rPr>
        <w:t xml:space="preserve">reformatting tasks</w:t>
      </w:r>
      <w:r>
        <w:t xml:space="preserve"> 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[23]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[24]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</w:t>
      </w:r>
    </w:p>
    <w:p>
      <w:pPr>
        <w:pStyle w:val="BodyText"/>
      </w:pPr>
      <w:r>
        <w:t xml:space="preserve">However, the OA publishing world is due to change dramatically in 2020</w:t>
      </w:r>
      <w:r>
        <w:t xml:space="preserve"> </w:t>
      </w:r>
      <w:r>
        <w:t xml:space="preserve">with the recent announcement of "plan S"</w:t>
      </w:r>
      <w:r>
        <w:t xml:space="preserve"> </w:t>
      </w:r>
      <w:r>
        <w:t xml:space="preserve">[25]</w:t>
      </w:r>
      <w:r>
        <w:t xml:space="preserve">, a European</w:t>
      </w:r>
      <w:r>
        <w:t xml:space="preserve"> </w:t>
      </w:r>
      <w:r>
        <w:t xml:space="preserve">initiative to enforce OA, cap APCs and prohibit publishing in hybrid</w:t>
      </w:r>
      <w:r>
        <w:t xml:space="preserve"> </w:t>
      </w:r>
      <w:r>
        <w:t xml:space="preserve">journals. Whilst we support the notions underlying plan S, its</w:t>
      </w:r>
      <w:r>
        <w:t xml:space="preserve"> </w:t>
      </w:r>
      <w:r>
        <w:t xml:space="preserve">success will depend on further implementation details</w:t>
      </w:r>
      <w:r>
        <w:t xml:space="preserve"> </w:t>
      </w:r>
      <w:r>
        <w:t xml:space="preserve"> </w:t>
      </w:r>
      <w:r>
        <w:rPr>
          <w:i/>
        </w:rPr>
        <w:t xml:space="preserve">that are currently under discussion. To date, gold OA, where authors</w:t>
      </w:r>
      <w:r>
        <w:rPr>
          <w:i/>
        </w:rPr>
        <w:t xml:space="preserve"> </w:t>
      </w:r>
      <w:r>
        <w:rPr>
          <w:i/>
        </w:rPr>
        <w:t xml:space="preserve">typically pay often quite large APCs, is seen as the predominant way</w:t>
      </w:r>
      <w:r>
        <w:rPr>
          <w:i/>
        </w:rPr>
        <w:t xml:space="preserve"> </w:t>
      </w:r>
      <w:r>
        <w:rPr>
          <w:i/>
        </w:rPr>
        <w:t xml:space="preserve">of meeting funders' OA mandates. However green OA (publishing your</w:t>
      </w:r>
      <w:r>
        <w:rPr>
          <w:i/>
        </w:rPr>
        <w:t xml:space="preserve"> </w:t>
      </w:r>
      <w:r>
        <w:rPr>
          <w:i/>
        </w:rPr>
        <w:t xml:space="preserve">author-accepted manuscript on a suitable server) is a viable</w:t>
      </w:r>
      <w:r>
        <w:rPr>
          <w:i/>
        </w:rPr>
        <w:t xml:space="preserve"> </w:t>
      </w:r>
      <w:r>
        <w:rPr>
          <w:i/>
        </w:rPr>
        <w:t xml:space="preserve">alternative to making work freely available. Finally, a relatively</w:t>
      </w:r>
      <w:r>
        <w:rPr>
          <w:i/>
        </w:rPr>
        <w:t xml:space="preserve"> </w:t>
      </w:r>
      <w:r>
        <w:rPr>
          <w:i/>
        </w:rPr>
        <w:t xml:space="preserve">new model of diamond OA, where there are no fees either to read or</w:t>
      </w:r>
      <w:r>
        <w:rPr>
          <w:i/>
        </w:rPr>
        <w:t xml:space="preserve"> </w:t>
      </w:r>
      <w:r>
        <w:rPr>
          <w:i/>
        </w:rPr>
        <w:t xml:space="preserve">publish papers, is being explored. This approach has been</w:t>
      </w:r>
      <w:r>
        <w:rPr>
          <w:i/>
        </w:rPr>
        <w:t xml:space="preserve"> </w:t>
      </w:r>
      <w:r>
        <w:rPr>
          <w:i/>
        </w:rPr>
        <w:t xml:space="preserve">successfully used in mathematics, where costs are kept low by hosting</w:t>
      </w:r>
      <w:r>
        <w:rPr>
          <w:i/>
        </w:rPr>
        <w:t xml:space="preserve"> </w:t>
      </w:r>
      <w:r>
        <w:rPr>
          <w:i/>
        </w:rPr>
        <w:t xml:space="preserve">the published papers on ArXiv. With the rise of preprint servers in</w:t>
      </w:r>
      <w:r>
        <w:rPr>
          <w:i/>
        </w:rPr>
        <w:t xml:space="preserve"> </w:t>
      </w:r>
      <w:r>
        <w:rPr>
          <w:i/>
        </w:rPr>
        <w:t xml:space="preserve">the life sciences, we look forward to the emergence of similar</w:t>
      </w:r>
      <w:r>
        <w:rPr>
          <w:i/>
        </w:rPr>
        <w:t xml:space="preserve"> </w:t>
      </w:r>
      <w:r>
        <w:rPr>
          <w:i/>
        </w:rPr>
        <w:t xml:space="preserve">low-cost overlay journals in the life sciences.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 an</w:t>
      </w:r>
      <w:r>
        <w:t xml:space="preserve"> </w:t>
      </w:r>
      <w:r>
        <w:t xml:space="preserve">affiliate of</w:t>
      </w:r>
      <w:r>
        <w:t xml:space="preserve"> </w:t>
      </w:r>
      <w:r>
        <w:rPr>
          <w:i/>
        </w:rPr>
        <w:t xml:space="preserve">BioRxiv</w:t>
      </w:r>
      <w:r>
        <w:t xml:space="preserve">.</w:t>
      </w:r>
      <w:r>
        <w:t xml:space="preserve"> 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 Available at:</w:t>
      </w:r>
      <w:r>
        <w:t xml:space="preserve"> </w:t>
      </w:r>
      <w:hyperlink r:id="rId45">
        <w:r>
          <w:rPr>
            <w:rStyle w:val="Hyperlink"/>
          </w:rPr>
          <w:t xml:space="preserve">https://arxiv.org/abs/1706.04188</w:t>
        </w:r>
      </w:hyperlink>
      <w:r>
        <w:t xml:space="preserve">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6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7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8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9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50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Nosek, B.A., Alter, G., Banks, G.C., Borsboom, D., Bowman, S.D., Breckler, S.J., Buck, S., Chambers, C.D., Chin, G., and Christensen,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(2015). Promoting an open research culture. Science</w:t>
      </w:r>
      <w:r>
        <w:t xml:space="preserve"> </w:t>
      </w:r>
      <w:r>
        <w:rPr>
          <w:i/>
        </w:rPr>
        <w:t xml:space="preserve">348</w:t>
      </w:r>
      <w:r>
        <w:t xml:space="preserve">, 1422–1425. DOI:</w:t>
      </w:r>
      <w:r>
        <w:t xml:space="preserve"> </w:t>
      </w:r>
      <w:hyperlink r:id="rId51">
        <w:r>
          <w:rPr>
            <w:rStyle w:val="Hyperlink"/>
          </w:rPr>
          <w:t xml:space="preserve">10.1126/science.aab2374</w:t>
        </w:r>
      </w:hyperlink>
      <w:r>
        <w:t xml:space="preserve">.</w:t>
      </w:r>
    </w:p>
    <w:p>
      <w:pPr>
        <w:pStyle w:val="Bibliography"/>
      </w:pPr>
      <w:r>
        <w:t xml:space="preserve">10.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2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11.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3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12.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5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6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13. Reproducible document stack from eLife Available at:</w:t>
      </w:r>
      <w:r>
        <w:t xml:space="preserve"> </w:t>
      </w:r>
      <w:hyperlink r:id="rId57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14. Bioconductor gateway on f1000 research Available at:</w:t>
      </w:r>
      <w:r>
        <w:t xml:space="preserve"> </w:t>
      </w:r>
      <w:hyperlink r:id="rId58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15. Nature research journals trial new tools to enhance code peer review and publication Available at:</w:t>
      </w:r>
      <w:r>
        <w:t xml:space="preserve"> </w:t>
      </w:r>
      <w:hyperlink r:id="rId59">
        <w:r>
          <w:rPr>
            <w:rStyle w:val="Hyperlink"/>
          </w:rPr>
          <w:t xml:space="preserve">http://blogs.nature.com/ofschemesandmemes/2018/08/01/nature-research-journals-trial-new-tools-to-enhance-code-peer-review-and-publication</w:t>
        </w:r>
      </w:hyperlink>
      <w:r>
        <w:t xml:space="preserve">.</w:t>
      </w:r>
    </w:p>
    <w:p>
      <w:pPr>
        <w:pStyle w:val="Bibliography"/>
      </w:pPr>
      <w:r>
        <w:t xml:space="preserve">16.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60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17.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61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18. ORCiD open letter on workflows Available at:</w:t>
      </w:r>
      <w:r>
        <w:t xml:space="preserve"> </w:t>
      </w:r>
      <w:hyperlink r:id="rId62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19. San Francisco Declaration on Research Assessment (DORA). Available at:</w:t>
      </w:r>
      <w:r>
        <w:t xml:space="preserve"> </w:t>
      </w:r>
      <w:hyperlink r:id="rId63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20. Open letter on the publication of peer review reports Available at:</w:t>
      </w:r>
      <w:r>
        <w:t xml:space="preserve"> </w:t>
      </w:r>
      <w:hyperlink r:id="rId64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21.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5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22.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6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7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23.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8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24.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9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25.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70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b4f0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9389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sapbio.org/letter" TargetMode="External" /><Relationship Type="http://schemas.openxmlformats.org/officeDocument/2006/relationships/hyperlink" Id="rId59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3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45" Target="https://arxiv.org/abs/1706.04188" TargetMode="External" /><Relationship Type="http://schemas.openxmlformats.org/officeDocument/2006/relationships/hyperlink" Id="rId66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9" Target="https://doi.org/10.1002/asi.23742" TargetMode="External" /><Relationship Type="http://schemas.openxmlformats.org/officeDocument/2006/relationships/hyperlink" Id="rId52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4" Target="https://doi.org/10.1016/j.bbapap.2013.04.032" TargetMode="External" /><Relationship Type="http://schemas.openxmlformats.org/officeDocument/2006/relationships/hyperlink" Id="rId47" Target="https://doi.org/10.1038/533452a" TargetMode="External" /><Relationship Type="http://schemas.openxmlformats.org/officeDocument/2006/relationships/hyperlink" Id="rId65" Target="https://doi.org/10.1038/543040e" TargetMode="External" /><Relationship Type="http://schemas.openxmlformats.org/officeDocument/2006/relationships/hyperlink" Id="rId68" Target="https://doi.org/10.1038/d41586-018-07101-w" TargetMode="External" /><Relationship Type="http://schemas.openxmlformats.org/officeDocument/2006/relationships/hyperlink" Id="rId49" Target="https://doi.org/10.1038/d41586-018-07118-1" TargetMode="External" /><Relationship Type="http://schemas.openxmlformats.org/officeDocument/2006/relationships/hyperlink" Id="rId48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1" Target="https://doi.org/10.1126/science.aab2374" TargetMode="External" /><Relationship Type="http://schemas.openxmlformats.org/officeDocument/2006/relationships/hyperlink" Id="rId56" Target="https://doi.org/10.12688/f1000research.10411.2" TargetMode="External" /><Relationship Type="http://schemas.openxmlformats.org/officeDocument/2006/relationships/hyperlink" Id="rId61" Target="https://doi.org/10.12688/f1000research.8731.2" TargetMode="External" /><Relationship Type="http://schemas.openxmlformats.org/officeDocument/2006/relationships/hyperlink" Id="rId46" Target="https://doi.org/10.1371/journal.pbio.2003995" TargetMode="External" /><Relationship Type="http://schemas.openxmlformats.org/officeDocument/2006/relationships/hyperlink" Id="rId60" Target="https://doi.org/10.1371/journal.pbio.2005203" TargetMode="External" /><Relationship Type="http://schemas.openxmlformats.org/officeDocument/2006/relationships/hyperlink" Id="rId70" Target="https://doi.org/10.1371/journal.pbio.3000031" TargetMode="External" /><Relationship Type="http://schemas.openxmlformats.org/officeDocument/2006/relationships/hyperlink" Id="rId50" Target="https://doi.org/10.1371/journal.pone.0194768" TargetMode="External" /><Relationship Type="http://schemas.openxmlformats.org/officeDocument/2006/relationships/hyperlink" Id="rId67" Target="https://doi.org/10.15252/embr.201845731" TargetMode="External" /><Relationship Type="http://schemas.openxmlformats.org/officeDocument/2006/relationships/hyperlink" Id="rId57" Target="https://elifesciences.org/labs/7dbeb390/reproducible-document-stack-supporting-the-next-generation-research-article" TargetMode="External" /><Relationship Type="http://schemas.openxmlformats.org/officeDocument/2006/relationships/hyperlink" Id="rId58" Target="https://f1000research.com/gateways/bioconductor" TargetMode="External" /><Relationship Type="http://schemas.openxmlformats.org/officeDocument/2006/relationships/hyperlink" Id="rId55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62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lons.com/" TargetMode="External" /><Relationship Type="http://schemas.openxmlformats.org/officeDocument/2006/relationships/hyperlink" Id="rId63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