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cent-developments-in-scholarly-publishing-to-improve-research-practices-in-the-life-sciences"/>
      <w:r>
        <w:t xml:space="preserve">Recent developments in scholarly publishing to improve research practices in the life sciences</w:t>
      </w:r>
      <w:bookmarkEnd w:id="20"/>
    </w:p>
    <w:p>
      <w:pPr>
        <w:pStyle w:val="FirstParagraph"/>
      </w:pPr>
      <w:r>
        <w:t xml:space="preserve">Stephen J Eglen</w:t>
      </w:r>
      <w:r>
        <w:t xml:space="preserve"> </w:t>
      </w:r>
      <w:hyperlink r:id="rId21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 that we believe will improve the working</w:t>
      </w:r>
      <w:r>
        <w:t xml:space="preserve"> </w:t>
      </w:r>
      <w:r>
        <w:t xml:space="preserve">environment and career prospects for life scientists.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Although</w:t>
      </w:r>
      <w:r>
        <w:t xml:space="preserve"> </w:t>
      </w:r>
      <w:r>
        <w:t xml:space="preserve">on the surface ArXiv does not provide much more than a collection of</w:t>
      </w:r>
      <w:r>
        <w:t xml:space="preserve"> </w:t>
      </w:r>
      <w:r>
        <w:t xml:space="preserve">PDFs grouped via topic, publishing there is now considered key for</w:t>
      </w:r>
      <w:r>
        <w:t xml:space="preserve"> </w:t>
      </w:r>
      <w:r>
        <w:t xml:space="preserve">establishing priority in certain fields (subsequent journal</w:t>
      </w:r>
      <w:r>
        <w:t xml:space="preserve"> </w:t>
      </w:r>
      <w:r>
        <w:t xml:space="preserve">publication is still the norm). It was initially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 There is some historic justification of</w:t>
      </w:r>
      <w:r>
        <w:t xml:space="preserve"> </w:t>
      </w:r>
      <w:r>
        <w:t xml:space="preserve">these concerns: an NIH experiment in preprints was effectively halted</w:t>
      </w:r>
      <w:r>
        <w:t xml:space="preserve"> </w:t>
      </w:r>
      <w:r>
        <w:t xml:space="preserve">in the 1960s by journals’ refusal to accept 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such 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8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attempted</w:t>
      </w:r>
      <w:r>
        <w:t xml:space="preserve"> </w:t>
      </w:r>
      <w:r>
        <w:t xml:space="preserve">[5]</w:t>
      </w:r>
      <w:r>
        <w:t xml:space="preserve">. The</w:t>
      </w:r>
      <w:r>
        <w:t xml:space="preserve"> </w:t>
      </w:r>
      <w:r>
        <w:t xml:space="preserve">traditional publishing system must take some responsibility for these</w:t>
      </w:r>
      <w:r>
        <w:t xml:space="preserve"> </w:t>
      </w:r>
      <w:r>
        <w:t xml:space="preserve">low levels of reproducibility, as authors feel under</w:t>
      </w:r>
      <w:r>
        <w:t xml:space="preserve"> </w:t>
      </w:r>
      <w:r>
        <w:t xml:space="preserve">intense pressure to publish to avoid being scooped (see below).</w:t>
      </w:r>
      <w:r>
        <w:t xml:space="preserve"> </w:t>
      </w:r>
      <w:r>
        <w:t xml:space="preserve">Further, space limitations imposed by print journals inhibit adequate</w:t>
      </w:r>
      <w:r>
        <w:t xml:space="preserve"> </w:t>
      </w:r>
      <w:r>
        <w:t xml:space="preserve">method descriptions, with key details relegated to supplementary</w:t>
      </w:r>
      <w:r>
        <w:t xml:space="preserve"> </w:t>
      </w:r>
      <w:r>
        <w:t xml:space="preserve">information which is rarely scrutinised to the same degree as the main</w:t>
      </w:r>
      <w:r>
        <w:t xml:space="preserve"> </w:t>
      </w:r>
      <w:r>
        <w:t xml:space="preserve">paper. However, here we list four encouraging developments that should</w:t>
      </w:r>
      <w:r>
        <w:t xml:space="preserve"> </w:t>
      </w:r>
      <w:r>
        <w:t xml:space="preserve">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 can be submitted to the same</w:t>
      </w:r>
      <w:r>
        <w:t xml:space="preserve"> </w:t>
      </w:r>
      <w:r>
        <w:t xml:space="preserve">journal which describes the results of the study using the</w:t>
      </w:r>
      <w:r>
        <w:t xml:space="preserve"> </w:t>
      </w:r>
      <w:r>
        <w:t xml:space="preserve">pre-registered methods. (Additional findings can be reported, but are</w:t>
      </w:r>
      <w:r>
        <w:t xml:space="preserve"> </w:t>
      </w:r>
      <w:r>
        <w:t xml:space="preserve">clearly marked as such.) Reviewer and editorial</w:t>
      </w:r>
      <w:r>
        <w:t xml:space="preserve"> </w:t>
      </w:r>
      <w:r>
        <w:t xml:space="preserve">decisions on whether to accept the second paper is made on the</w:t>
      </w:r>
      <w:r>
        <w:t xml:space="preserve"> </w:t>
      </w:r>
      <w:r>
        <w:t xml:space="preserve">technical correctness of the paper rather than the importance or</w:t>
      </w:r>
      <w:r>
        <w:t xml:space="preserve"> </w:t>
      </w:r>
      <w:r>
        <w:t xml:space="preserve">novelty of the results. Preregistration is most prevalent today in</w:t>
      </w:r>
      <w:r>
        <w:t xml:space="preserve"> </w:t>
      </w:r>
      <w:r>
        <w:t xml:space="preserve">psychology; The Center for Open Science Preregistration Challenge</w:t>
      </w:r>
      <w:r>
        <w:t xml:space="preserve"> </w:t>
      </w:r>
      <w:hyperlink r:id="rId32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 popularise this notion more</w:t>
      </w:r>
      <w:r>
        <w:t xml:space="preserve"> </w:t>
      </w:r>
      <w:r>
        <w:t xml:space="preserve">broadly. Initial analysis of results from preregistered papers</w:t>
      </w:r>
      <w:r>
        <w:t xml:space="preserve"> </w:t>
      </w:r>
      <w:r>
        <w:t xml:space="preserve">indicates, perhaps reassuringly, a marked increase in null results</w:t>
      </w:r>
      <w:r>
        <w:t xml:space="preserve"> </w:t>
      </w:r>
      <w:r>
        <w:t xml:space="preserve">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compliance rates</w:t>
      </w:r>
      <w:r>
        <w:t xml:space="preserve"> </w:t>
      </w:r>
      <w:r>
        <w:t xml:space="preserve">are fairly low</w:t>
      </w:r>
      <w:r>
        <w:t xml:space="preserve"> </w:t>
      </w:r>
      <w:r>
        <w:t xml:space="preserve">[8]</w:t>
      </w:r>
      <w:r>
        <w:t xml:space="preserve">. Given that it can take considerable</w:t>
      </w:r>
      <w:r>
        <w:t xml:space="preserve"> </w:t>
      </w:r>
      <w:r>
        <w:t xml:space="preserve">time and effort (for both researchers and journals) to ensure data is</w:t>
      </w:r>
      <w:r>
        <w:t xml:space="preserve"> </w:t>
      </w:r>
      <w:r>
        <w:t xml:space="preserve">appropriately shared, these low-uptake rates are perhaps expected. To</w:t>
      </w:r>
      <w:r>
        <w:t xml:space="preserve"> </w:t>
      </w:r>
      <w:r>
        <w:t xml:space="preserve">reward authors for this work,</w:t>
      </w:r>
      <w:r>
        <w:t xml:space="preserve"> </w:t>
      </w:r>
      <w:r>
        <w:t xml:space="preserve">“</w:t>
      </w:r>
      <w:r>
        <w:t xml:space="preserve">data papers</w:t>
      </w:r>
      <w:r>
        <w:t xml:space="preserve">”</w:t>
      </w:r>
      <w:r>
        <w:t xml:space="preserve"> </w:t>
      </w:r>
      <w:r>
        <w:t xml:space="preserve">(a paper that simply</w:t>
      </w:r>
      <w:r>
        <w:t xml:space="preserve"> </w:t>
      </w:r>
      <w:r>
        <w:t xml:space="preserve">describes the data) are becoming more 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 Journals are also providing</w:t>
      </w:r>
      <w:r>
        <w:t xml:space="preserve"> </w:t>
      </w:r>
      <w:r>
        <w:t xml:space="preserve">guidelines for authors to follow which should improve reproducibility</w:t>
      </w:r>
      <w:r>
        <w:t xml:space="preserve"> </w:t>
      </w:r>
      <w:r>
        <w:t xml:space="preserve">and transparency</w:t>
      </w:r>
      <w:r>
        <w:t xml:space="preserve"> </w:t>
      </w:r>
      <w:r>
        <w:t xml:space="preserve">[9]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[10]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[11,12]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[13]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[14]</w:t>
      </w:r>
      <w:r>
        <w:t xml:space="preserve">. Further, some</w:t>
      </w:r>
      <w:r>
        <w:t xml:space="preserve"> </w:t>
      </w:r>
      <w:r>
        <w:t xml:space="preserve">journals are experimenting with re-running of code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using services such as Cloud Ocean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</w:t>
      </w:r>
      <w:r>
        <w:t xml:space="preserve"> </w:t>
      </w:r>
      <w:r>
        <w:t xml:space="preserve">“</w:t>
      </w:r>
      <w:r>
        <w:t xml:space="preserve">scooped</w:t>
      </w:r>
      <w:r>
        <w:t xml:space="preserve">”</w:t>
      </w:r>
      <w:r>
        <w:t xml:space="preserve"> </w:t>
      </w:r>
      <w:r>
        <w:t xml:space="preserve">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</w:t>
      </w:r>
      <w:r>
        <w:t xml:space="preserve"> </w:t>
      </w:r>
      <w:r>
        <w:t xml:space="preserve">“</w:t>
      </w:r>
      <w:r>
        <w:t xml:space="preserve">confirm or</w:t>
      </w:r>
      <w:r>
        <w:t xml:space="preserve"> </w:t>
      </w:r>
      <w:r>
        <w:t xml:space="preserve">extend a recently published study</w:t>
      </w:r>
      <w:r>
        <w:t xml:space="preserve">”</w:t>
      </w:r>
      <w:r>
        <w:t xml:space="preserve"> </w:t>
      </w:r>
      <w:r>
        <w:t xml:space="preserve">[16]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[17]</w:t>
      </w:r>
      <w:r>
        <w:t xml:space="preserve">.</w:t>
      </w:r>
    </w:p>
    <w:p>
      <w:pPr>
        <w:pStyle w:val="Heading2"/>
      </w:pPr>
      <w:bookmarkStart w:id="33" w:name="other-recent-innovations-of-note"/>
      <w:r>
        <w:t xml:space="preserve">Other recent innovations of note</w:t>
      </w:r>
      <w:bookmarkEnd w:id="33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 which can help in linking scholarly outputs to an</w:t>
      </w:r>
      <w:r>
        <w:t xml:space="preserve"> </w:t>
      </w:r>
      <w:r>
        <w:t xml:space="preserve">individual and thus automatically curate a list of works, not just</w:t>
      </w:r>
      <w:r>
        <w:t xml:space="preserve"> </w:t>
      </w:r>
      <w:r>
        <w:t xml:space="preserve">papers, in one place. Such indentifiers should also reduce mistaken</w:t>
      </w:r>
      <w:r>
        <w:t xml:space="preserve"> </w:t>
      </w:r>
      <w:r>
        <w:t xml:space="preserve">identity. Many journals now require that</w:t>
      </w:r>
      <w:r>
        <w:t xml:space="preserve"> </w:t>
      </w:r>
      <w:r>
        <w:t xml:space="preserve">at least one author verifies their identity as author using ORCiD</w:t>
      </w:r>
      <w:r>
        <w:t xml:space="preserve"> </w:t>
      </w:r>
      <w:r>
        <w:t xml:space="preserve">[18]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[19]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currently signed. See also the Leiden Manifesto for Research</w:t>
      </w:r>
      <w:r>
        <w:t xml:space="preserve"> </w:t>
      </w:r>
      <w:r>
        <w:t xml:space="preserve">Metrics (</w:t>
      </w:r>
      <w:hyperlink r:id="rId34">
        <w:r>
          <w:rPr>
            <w:rStyle w:val="Hyperlink"/>
          </w:rPr>
          <w:t xml:space="preserve">http://www.leidenmanifesto.org/</w:t>
        </w:r>
      </w:hyperlink>
      <w:r>
        <w:t xml:space="preserve">). We expect most UK</w:t>
      </w:r>
      <w:r>
        <w:t xml:space="preserve"> </w:t>
      </w:r>
      <w:r>
        <w:t xml:space="preserve">universities to now sign DORA, or equivalent, due to the Wellcome</w:t>
      </w:r>
      <w:r>
        <w:t xml:space="preserve"> </w:t>
      </w:r>
      <w:r>
        <w:t xml:space="preserve">Trust’s new policy (starting 2020) requiring institutions to</w:t>
      </w:r>
      <w:r>
        <w:t xml:space="preserve"> </w:t>
      </w:r>
      <w:r>
        <w:t xml:space="preserve">sign. Assuming institutions take this seriously, evaluating papers by</w:t>
      </w:r>
      <w:r>
        <w:t xml:space="preserve"> </w:t>
      </w:r>
      <w:r>
        <w:t xml:space="preserve">their content rather than where they are published should reduce the</w:t>
      </w:r>
      <w:r>
        <w:t xml:space="preserve"> </w:t>
      </w:r>
      <w:r>
        <w:t xml:space="preserve">pressure to publish in top-tier journals.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already, or have</w:t>
      </w:r>
      <w:r>
        <w:t xml:space="preserve"> </w:t>
      </w:r>
      <w:r>
        <w:t xml:space="preserve">pledged to, provide greater transparency about the quality of peer</w:t>
      </w:r>
      <w:r>
        <w:t xml:space="preserve"> </w:t>
      </w:r>
      <w:r>
        <w:t xml:space="preserve">review they provide by publishing reviewer reports alongside published</w:t>
      </w:r>
      <w:r>
        <w:t xml:space="preserve"> </w:t>
      </w:r>
      <w:r>
        <w:t xml:space="preserve">articles. Notably two large open access publishers PLOS and MDPI are</w:t>
      </w:r>
      <w:r>
        <w:t xml:space="preserve"> </w:t>
      </w:r>
      <w:r>
        <w:t xml:space="preserve">amongst those that are pledging to provide greater transparency from</w:t>
      </w:r>
      <w:r>
        <w:t xml:space="preserve"> </w:t>
      </w:r>
      <w:r>
        <w:t xml:space="preserve">2019</w:t>
      </w:r>
      <w:r>
        <w:t xml:space="preserve"> </w:t>
      </w:r>
      <w:r>
        <w:t xml:space="preserve">[20]</w:t>
      </w:r>
      <w:r>
        <w:t xml:space="preserve">. Publons (</w:t>
      </w:r>
      <w:hyperlink r:id="rId35">
        <w:r>
          <w:rPr>
            <w:rStyle w:val="Hyperlink"/>
          </w:rPr>
          <w:t xml:space="preserve">https://publons.com/</w:t>
        </w:r>
      </w:hyperlink>
      <w:r>
        <w:t xml:space="preserve">) allows</w:t>
      </w:r>
      <w:r>
        <w:t xml:space="preserve"> </w:t>
      </w:r>
      <w:r>
        <w:t xml:space="preserve">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 their profile for peer</w:t>
      </w:r>
      <w:r>
        <w:t xml:space="preserve"> </w:t>
      </w:r>
      <w:r>
        <w:t xml:space="preserve">reviewing and editorial work they have done. Publishing reviewer</w:t>
      </w:r>
      <w:r>
        <w:t xml:space="preserve"> </w:t>
      </w:r>
      <w:r>
        <w:t xml:space="preserve">reports, whether signed or not, should increase transparency in the</w:t>
      </w:r>
      <w:r>
        <w:t xml:space="preserve"> </w:t>
      </w:r>
      <w:r>
        <w:t xml:space="preserve">reviewing process.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 This</w:t>
      </w:r>
      <w:r>
        <w:t xml:space="preserve"> </w:t>
      </w:r>
      <w:r>
        <w:t xml:space="preserve">approach to publishing complements preprinting by ensuring the paper</w:t>
      </w:r>
      <w:r>
        <w:t xml:space="preserve"> </w:t>
      </w:r>
      <w:r>
        <w:t xml:space="preserve">is publicly available whilst undergoing peer review.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manuscripts. As editors at</w:t>
      </w:r>
      <w:r>
        <w:t xml:space="preserve"> </w:t>
      </w:r>
      <w:r>
        <w:t xml:space="preserve">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 peer review,</w:t>
      </w:r>
      <w:r>
        <w:t xml:space="preserve"> </w:t>
      </w:r>
      <w:r>
        <w:t xml:space="preserve">this leads to many wasted hours</w:t>
      </w:r>
      <w:r>
        <w:t xml:space="preserve"> </w:t>
      </w:r>
      <w:r>
        <w:t xml:space="preserve">[21]</w:t>
      </w:r>
      <w:r>
        <w:t xml:space="preserve">. Gradually life</w:t>
      </w:r>
      <w:r>
        <w:t xml:space="preserve"> </w:t>
      </w:r>
      <w:r>
        <w:t xml:space="preserve">science journals are now dropping these formatting requirements for</w:t>
      </w:r>
      <w:r>
        <w:t xml:space="preserve"> </w:t>
      </w:r>
      <w:r>
        <w:t xml:space="preserve">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[22]</w:t>
      </w:r>
      <w:r>
        <w:t xml:space="preserve">, and hence saving researchers from tedious</w:t>
      </w:r>
      <w:r>
        <w:t xml:space="preserve"> </w:t>
      </w:r>
      <w:r>
        <w:t xml:space="preserve">reformatting tasks.</w:t>
      </w:r>
    </w:p>
    <w:p>
      <w:pPr>
        <w:pStyle w:val="Heading2"/>
      </w:pPr>
      <w:bookmarkStart w:id="36" w:name="funder-mandates-and-compliance"/>
      <w:r>
        <w:t xml:space="preserve">Funder mandates and compliance</w:t>
      </w:r>
      <w:bookmarkEnd w:id="36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[23]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[24]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</w:t>
      </w:r>
    </w:p>
    <w:p>
      <w:pPr>
        <w:pStyle w:val="BodyText"/>
      </w:pPr>
      <w:r>
        <w:t xml:space="preserve">However, the OA publishing world is due to change dramatically in 2020</w:t>
      </w:r>
      <w:r>
        <w:t xml:space="preserve"> </w:t>
      </w:r>
      <w:r>
        <w:t xml:space="preserve">with the recent 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[25]</w:t>
      </w:r>
      <w:r>
        <w:t xml:space="preserve">, a European</w:t>
      </w:r>
      <w:r>
        <w:t xml:space="preserve"> </w:t>
      </w:r>
      <w:r>
        <w:t xml:space="preserve">initiative to enforce OA, cap APCs and not financially support hybrid</w:t>
      </w:r>
      <w:r>
        <w:t xml:space="preserve"> </w:t>
      </w:r>
      <w:r>
        <w:t xml:space="preserve">journals. Whilst we support the notions underlying plan S, its</w:t>
      </w:r>
      <w:r>
        <w:t xml:space="preserve"> </w:t>
      </w:r>
      <w:r>
        <w:t xml:space="preserve">success will depend on further implementation details that are</w:t>
      </w:r>
      <w:r>
        <w:t xml:space="preserve"> </w:t>
      </w:r>
      <w:r>
        <w:t xml:space="preserve">currently under discussion. To date, gold OA, where authors typically</w:t>
      </w:r>
      <w:r>
        <w:t xml:space="preserve"> </w:t>
      </w:r>
      <w:r>
        <w:t xml:space="preserve">pay often quite large APCs, is seen as the predominant way of meeting</w:t>
      </w:r>
      <w:r>
        <w:t xml:space="preserve"> </w:t>
      </w:r>
      <w:r>
        <w:t xml:space="preserve">funders’ OA mandates. However green OA (publishing your</w:t>
      </w:r>
      <w:r>
        <w:t xml:space="preserve"> </w:t>
      </w:r>
      <w:r>
        <w:t xml:space="preserve">author-accepted manuscript on a suitable server) is a viable</w:t>
      </w:r>
      <w:r>
        <w:t xml:space="preserve"> </w:t>
      </w:r>
      <w:r>
        <w:t xml:space="preserve">alternative to making work freely available. Finally, a relatively</w:t>
      </w:r>
      <w:r>
        <w:t xml:space="preserve"> </w:t>
      </w:r>
      <w:r>
        <w:t xml:space="preserve">new model of diamond OA, where there are no fees either to read or</w:t>
      </w:r>
      <w:r>
        <w:t xml:space="preserve"> </w:t>
      </w:r>
      <w:r>
        <w:t xml:space="preserve">publish papers, is being explored. This approach has been</w:t>
      </w:r>
      <w:r>
        <w:t xml:space="preserve"> </w:t>
      </w:r>
      <w:r>
        <w:t xml:space="preserve">successfully used in mathematics, where costs are kept low by hosting</w:t>
      </w:r>
      <w:r>
        <w:t xml:space="preserve"> </w:t>
      </w:r>
      <w:r>
        <w:t xml:space="preserve">the published papers on ArXiv. With the rise of preprint servers in</w:t>
      </w:r>
      <w:r>
        <w:t xml:space="preserve"> </w:t>
      </w:r>
      <w:r>
        <w:t xml:space="preserve">the life sciences, we look forward to the emergence of similar</w:t>
      </w:r>
      <w:r>
        <w:t xml:space="preserve"> </w:t>
      </w:r>
      <w:r>
        <w:t xml:space="preserve">low-cost overlay journals in the life sciences.</w:t>
      </w:r>
    </w:p>
    <w:p>
      <w:pPr>
        <w:pStyle w:val="Heading1"/>
      </w:pPr>
      <w:bookmarkStart w:id="37" w:name="concluding-remarks"/>
      <w:r>
        <w:t xml:space="preserve">Concluding remarks</w:t>
      </w:r>
      <w:bookmarkEnd w:id="37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9" w:name="conflicts-of-interest"/>
      <w:r>
        <w:t xml:space="preserve">Conflicts of interest</w:t>
      </w:r>
      <w:bookmarkEnd w:id="39"/>
    </w:p>
    <w:p>
      <w:pPr>
        <w:pStyle w:val="FirstParagraph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 an</w:t>
      </w:r>
      <w:r>
        <w:t xml:space="preserve"> </w:t>
      </w:r>
      <w:r>
        <w:t xml:space="preserve">affiliate of</w:t>
      </w:r>
      <w:r>
        <w:t xml:space="preserve"> </w:t>
      </w:r>
      <w:r>
        <w:rPr>
          <w:i/>
        </w:rPr>
        <w:t xml:space="preserve">BioRxiv</w:t>
      </w:r>
      <w:r>
        <w:t xml:space="preserve">. LG is an ASAPbio ambassador.</w:t>
      </w:r>
    </w:p>
    <w:p>
      <w:pPr>
        <w:pStyle w:val="Heading1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1" w:name="references"/>
      <w:r>
        <w:t xml:space="preserve">References</w:t>
      </w:r>
      <w:bookmarkEnd w:id="41"/>
    </w:p>
    <w:bookmarkStart w:id="95" w:name="refs"/>
    <w:bookmarkStart w:id="43" w:name="ref-Brenner1995-kk"/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2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bookmarkEnd w:id="43"/>
    <w:bookmarkStart w:id="45" w:name="ref-Simons2008-fr"/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bookmarkEnd w:id="45"/>
    <w:bookmarkStart w:id="47" w:name="ref-Ginsparg2017"/>
    <w:p>
      <w:pPr>
        <w:pStyle w:val="Bibliography"/>
      </w:pPr>
      <w:r>
        <w:t xml:space="preserve">3. Ginsparg, P. (2017). Preprint déjà vu: An FAQ. arXiv [cs.DL]. Available at:</w:t>
      </w:r>
      <w:r>
        <w:t xml:space="preserve"> </w:t>
      </w:r>
      <w:hyperlink r:id="rId46">
        <w:r>
          <w:rPr>
            <w:rStyle w:val="Hyperlink"/>
          </w:rPr>
          <w:t xml:space="preserve">https://arxiv.org/abs/1706.04188</w:t>
        </w:r>
      </w:hyperlink>
      <w:r>
        <w:t xml:space="preserve">.</w:t>
      </w:r>
    </w:p>
    <w:bookmarkEnd w:id="47"/>
    <w:bookmarkStart w:id="49" w:name="ref-Cobb2017-tv"/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8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bookmarkEnd w:id="49"/>
    <w:bookmarkStart w:id="51" w:name="ref-Baker2016-wr"/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50">
        <w:r>
          <w:rPr>
            <w:rStyle w:val="Hyperlink"/>
          </w:rPr>
          <w:t xml:space="preserve">10.1038/533452a</w:t>
        </w:r>
      </w:hyperlink>
      <w:r>
        <w:t xml:space="preserve">.</w:t>
      </w:r>
    </w:p>
    <w:bookmarkEnd w:id="51"/>
    <w:bookmarkStart w:id="53" w:name="ref-Nosek2018-my"/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52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bookmarkEnd w:id="53"/>
    <w:bookmarkStart w:id="55" w:name="ref-Warren2018-cj"/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54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bookmarkEnd w:id="55"/>
    <w:bookmarkStart w:id="57" w:name="ref-Federer2018-qg"/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56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bookmarkEnd w:id="57"/>
    <w:bookmarkStart w:id="59" w:name="ref-Nosek2015-og"/>
    <w:p>
      <w:pPr>
        <w:pStyle w:val="Bibliography"/>
      </w:pPr>
      <w:r>
        <w:t xml:space="preserve">9. Nosek, B.A., Alter, G., Banks, G.C., Borsboom, D., Bowman, S.D., Breckler, S.J., Buck, S., Chambers, C.D., Chin, G., and Christensen, G.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(2015). Promoting an open research culture. Science</w:t>
      </w:r>
      <w:r>
        <w:t xml:space="preserve"> </w:t>
      </w:r>
      <w:r>
        <w:rPr>
          <w:i/>
        </w:rPr>
        <w:t xml:space="preserve">348</w:t>
      </w:r>
      <w:r>
        <w:t xml:space="preserve">, 1422–1425. DOI:</w:t>
      </w:r>
      <w:r>
        <w:t xml:space="preserve"> </w:t>
      </w:r>
      <w:hyperlink r:id="rId58">
        <w:r>
          <w:rPr>
            <w:rStyle w:val="Hyperlink"/>
          </w:rPr>
          <w:t xml:space="preserve">10.1126/science.aab2374</w:t>
        </w:r>
      </w:hyperlink>
      <w:r>
        <w:t xml:space="preserve">.</w:t>
      </w:r>
    </w:p>
    <w:bookmarkEnd w:id="59"/>
    <w:bookmarkStart w:id="61" w:name="ref-Buckheit1995-yu"/>
    <w:p>
      <w:pPr>
        <w:pStyle w:val="Bibliography"/>
      </w:pPr>
      <w:r>
        <w:t xml:space="preserve">10.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60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bookmarkEnd w:id="61"/>
    <w:bookmarkStart w:id="64" w:name="ref-Gatto2014-wc"/>
    <w:p>
      <w:pPr>
        <w:pStyle w:val="Bibliography"/>
      </w:pPr>
      <w:r>
        <w:t xml:space="preserve">11.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62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63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bookmarkEnd w:id="64"/>
    <w:bookmarkStart w:id="67" w:name="ref-Breckels2018-ys"/>
    <w:p>
      <w:pPr>
        <w:pStyle w:val="Bibliography"/>
      </w:pPr>
      <w:r>
        <w:t xml:space="preserve">12.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65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66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bookmarkEnd w:id="67"/>
    <w:bookmarkStart w:id="69" w:name="ref-web:elifestack"/>
    <w:p>
      <w:pPr>
        <w:pStyle w:val="Bibliography"/>
      </w:pPr>
      <w:r>
        <w:t xml:space="preserve">13. Reproducible document stack from eLife Available at:</w:t>
      </w:r>
      <w:r>
        <w:t xml:space="preserve"> </w:t>
      </w:r>
      <w:hyperlink r:id="rId68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bookmarkEnd w:id="69"/>
    <w:bookmarkStart w:id="71" w:name="ref-web:biochannel"/>
    <w:p>
      <w:pPr>
        <w:pStyle w:val="Bibliography"/>
      </w:pPr>
      <w:r>
        <w:t xml:space="preserve">14. Bioconductor gateway on f1000 research Available at:</w:t>
      </w:r>
      <w:r>
        <w:t xml:space="preserve"> </w:t>
      </w:r>
      <w:hyperlink r:id="rId70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bookmarkEnd w:id="71"/>
    <w:bookmarkStart w:id="73" w:name="ref-web:codeocean"/>
    <w:p>
      <w:pPr>
        <w:pStyle w:val="Bibliography"/>
      </w:pPr>
      <w:r>
        <w:t xml:space="preserve">15. Nature research journals trial new tools to enhance code peer review and publication Available at:</w:t>
      </w:r>
      <w:r>
        <w:t xml:space="preserve"> </w:t>
      </w:r>
      <w:hyperlink r:id="rId72">
        <w:r>
          <w:rPr>
            <w:rStyle w:val="Hyperlink"/>
          </w:rPr>
          <w:t xml:space="preserve">http://blogs.nature.com/ofschemesandmemes/2018/08/01/nature-research-journals-trial-new-tools-to-enhance-code-peer-review-and-publication</w:t>
        </w:r>
      </w:hyperlink>
      <w:r>
        <w:t xml:space="preserve">.</w:t>
      </w:r>
    </w:p>
    <w:bookmarkEnd w:id="73"/>
    <w:bookmarkStart w:id="75" w:name="ref-PLOS_Biology_Staff_Editors2018-jf"/>
    <w:p>
      <w:pPr>
        <w:pStyle w:val="Bibliography"/>
      </w:pPr>
      <w:r>
        <w:t xml:space="preserve">16.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74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bookmarkEnd w:id="75"/>
    <w:bookmarkStart w:id="77" w:name="ref-Aizawa2016-lu"/>
    <w:p>
      <w:pPr>
        <w:pStyle w:val="Bibliography"/>
      </w:pPr>
      <w:r>
        <w:t xml:space="preserve">17.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76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bookmarkEnd w:id="77"/>
    <w:bookmarkStart w:id="79" w:name="ref-web:orcidletter"/>
    <w:p>
      <w:pPr>
        <w:pStyle w:val="Bibliography"/>
      </w:pPr>
      <w:r>
        <w:t xml:space="preserve">18. ORCiD open letter on workflows Available at:</w:t>
      </w:r>
      <w:r>
        <w:t xml:space="preserve"> </w:t>
      </w:r>
      <w:hyperlink r:id="rId78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bookmarkEnd w:id="79"/>
    <w:bookmarkStart w:id="81" w:name="ref-web:dora"/>
    <w:p>
      <w:pPr>
        <w:pStyle w:val="Bibliography"/>
      </w:pPr>
      <w:r>
        <w:t xml:space="preserve">19. San Francisco Declaration on Research Assessment (DORA). Available at:</w:t>
      </w:r>
      <w:r>
        <w:t xml:space="preserve"> </w:t>
      </w:r>
      <w:hyperlink r:id="rId80">
        <w:r>
          <w:rPr>
            <w:rStyle w:val="Hyperlink"/>
          </w:rPr>
          <w:t xml:space="preserve">https://sfdora.org/</w:t>
        </w:r>
      </w:hyperlink>
      <w:r>
        <w:t xml:space="preserve">.</w:t>
      </w:r>
    </w:p>
    <w:bookmarkEnd w:id="81"/>
    <w:bookmarkStart w:id="83" w:name="ref-asap_letter"/>
    <w:p>
      <w:pPr>
        <w:pStyle w:val="Bibliography"/>
      </w:pPr>
      <w:r>
        <w:t xml:space="preserve">20. Open letter on the publication of peer review reports Available at:</w:t>
      </w:r>
      <w:r>
        <w:t xml:space="preserve"> </w:t>
      </w:r>
      <w:hyperlink r:id="rId82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bookmarkEnd w:id="83"/>
    <w:bookmarkStart w:id="85" w:name="ref-Budd2017-gd"/>
    <w:p>
      <w:pPr>
        <w:pStyle w:val="Bibliography"/>
      </w:pPr>
      <w:r>
        <w:t xml:space="preserve">21.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84">
        <w:r>
          <w:rPr>
            <w:rStyle w:val="Hyperlink"/>
          </w:rPr>
          <w:t xml:space="preserve">10.1038/543040e</w:t>
        </w:r>
      </w:hyperlink>
      <w:r>
        <w:t xml:space="preserve">.</w:t>
      </w:r>
    </w:p>
    <w:bookmarkEnd w:id="85"/>
    <w:bookmarkStart w:id="88" w:name="ref-Khan2018-zm"/>
    <w:p>
      <w:pPr>
        <w:pStyle w:val="Bibliography"/>
      </w:pPr>
      <w:r>
        <w:t xml:space="preserve">22.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86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87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bookmarkEnd w:id="88"/>
    <w:bookmarkStart w:id="90" w:name="ref-Lariviere2018-nc"/>
    <w:p>
      <w:pPr>
        <w:pStyle w:val="Bibliography"/>
      </w:pPr>
      <w:r>
        <w:t xml:space="preserve">23.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89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bookmarkEnd w:id="90"/>
    <w:bookmarkStart w:id="92" w:name="ref-Pinfield2017-qs"/>
    <w:p>
      <w:pPr>
        <w:pStyle w:val="Bibliography"/>
      </w:pPr>
      <w:r>
        <w:t xml:space="preserve">24.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91">
        <w:r>
          <w:rPr>
            <w:rStyle w:val="Hyperlink"/>
          </w:rPr>
          <w:t xml:space="preserve">10.1002/asi.23742</w:t>
        </w:r>
      </w:hyperlink>
      <w:r>
        <w:t xml:space="preserve">.</w:t>
      </w:r>
    </w:p>
    <w:bookmarkEnd w:id="92"/>
    <w:bookmarkStart w:id="94" w:name="ref-Schiltz2018-jn"/>
    <w:p>
      <w:pPr>
        <w:pStyle w:val="Bibliography"/>
      </w:pPr>
      <w:r>
        <w:t xml:space="preserve">25.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93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2" Target="http://asapbio.org/letter" TargetMode="External" /><Relationship Type="http://schemas.openxmlformats.org/officeDocument/2006/relationships/hyperlink" Id="rId72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8" Target="http://bulliedintobadscience.org/" TargetMode="External" /><Relationship Type="http://schemas.openxmlformats.org/officeDocument/2006/relationships/hyperlink" Id="rId62" Target="http://www.bioconductor.org/packages/release/data/experiment/vignettes/RforProteomics/inst/doc/RforProteomics.html" TargetMode="External" /><Relationship Type="http://schemas.openxmlformats.org/officeDocument/2006/relationships/hyperlink" Id="rId34" Target="http://www.leidenmanifesto.org/" TargetMode="External" /><Relationship Type="http://schemas.openxmlformats.org/officeDocument/2006/relationships/hyperlink" Id="rId46" Target="https://arxiv.org/abs/1706.04188" TargetMode="External" /><Relationship Type="http://schemas.openxmlformats.org/officeDocument/2006/relationships/hyperlink" Id="rId86" Target="https://asntech.github.io/format-free-journals/" TargetMode="External" /><Relationship Type="http://schemas.openxmlformats.org/officeDocument/2006/relationships/hyperlink" Id="rId32" Target="https://cos.io/prereg/" TargetMode="External" /><Relationship Type="http://schemas.openxmlformats.org/officeDocument/2006/relationships/hyperlink" Id="rId91" Target="https://doi.org/10.1002/asi.23742" TargetMode="External" /><Relationship Type="http://schemas.openxmlformats.org/officeDocument/2006/relationships/hyperlink" Id="rId60" Target="https://doi.org/10.1007/978-1-4612-2544-7_5" TargetMode="External" /><Relationship Type="http://schemas.openxmlformats.org/officeDocument/2006/relationships/hyperlink" Id="rId42" Target="https://doi.org/10.1016/S0960-9822(95)00109-X" TargetMode="External" /><Relationship Type="http://schemas.openxmlformats.org/officeDocument/2006/relationships/hyperlink" Id="rId63" Target="https://doi.org/10.1016/j.bbapap.2013.04.032" TargetMode="External" /><Relationship Type="http://schemas.openxmlformats.org/officeDocument/2006/relationships/hyperlink" Id="rId50" Target="https://doi.org/10.1038/533452a" TargetMode="External" /><Relationship Type="http://schemas.openxmlformats.org/officeDocument/2006/relationships/hyperlink" Id="rId84" Target="https://doi.org/10.1038/543040e" TargetMode="External" /><Relationship Type="http://schemas.openxmlformats.org/officeDocument/2006/relationships/hyperlink" Id="rId89" Target="https://doi.org/10.1038/d41586-018-07101-w" TargetMode="External" /><Relationship Type="http://schemas.openxmlformats.org/officeDocument/2006/relationships/hyperlink" Id="rId54" Target="https://doi.org/10.1038/d41586-018-07118-1" TargetMode="External" /><Relationship Type="http://schemas.openxmlformats.org/officeDocument/2006/relationships/hyperlink" Id="rId52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8" Target="https://doi.org/10.1126/science.aab2374" TargetMode="External" /><Relationship Type="http://schemas.openxmlformats.org/officeDocument/2006/relationships/hyperlink" Id="rId66" Target="https://doi.org/10.12688/f1000research.10411.2" TargetMode="External" /><Relationship Type="http://schemas.openxmlformats.org/officeDocument/2006/relationships/hyperlink" Id="rId76" Target="https://doi.org/10.12688/f1000research.8731.2" TargetMode="External" /><Relationship Type="http://schemas.openxmlformats.org/officeDocument/2006/relationships/hyperlink" Id="rId48" Target="https://doi.org/10.1371/journal.pbio.2003995" TargetMode="External" /><Relationship Type="http://schemas.openxmlformats.org/officeDocument/2006/relationships/hyperlink" Id="rId74" Target="https://doi.org/10.1371/journal.pbio.2005203" TargetMode="External" /><Relationship Type="http://schemas.openxmlformats.org/officeDocument/2006/relationships/hyperlink" Id="rId93" Target="https://doi.org/10.1371/journal.pbio.3000031" TargetMode="External" /><Relationship Type="http://schemas.openxmlformats.org/officeDocument/2006/relationships/hyperlink" Id="rId56" Target="https://doi.org/10.1371/journal.pone.0194768" TargetMode="External" /><Relationship Type="http://schemas.openxmlformats.org/officeDocument/2006/relationships/hyperlink" Id="rId87" Target="https://doi.org/10.15252/embr.201845731" TargetMode="External" /><Relationship Type="http://schemas.openxmlformats.org/officeDocument/2006/relationships/hyperlink" Id="rId68" Target="https://elifesciences.org/labs/7dbeb390/reproducible-document-stack-supporting-the-next-generation-research-article" TargetMode="External" /><Relationship Type="http://schemas.openxmlformats.org/officeDocument/2006/relationships/hyperlink" Id="rId70" Target="https://f1000research.com/gateways/bioconductor" TargetMode="External" /><Relationship Type="http://schemas.openxmlformats.org/officeDocument/2006/relationships/hyperlink" Id="rId65" Target="https://github.com/lmsimp/bioc-pRoloc-hyperLOPIT-workflow" TargetMode="External" /><Relationship Type="http://schemas.openxmlformats.org/officeDocument/2006/relationships/hyperlink" Id="rId21" Target="https://orcid.org/0000-0001-8607-8025" TargetMode="External" /><Relationship Type="http://schemas.openxmlformats.org/officeDocument/2006/relationships/hyperlink" Id="rId25" Target="https://orcid.org/0000-0001-9147-7418" TargetMode="External" /><Relationship Type="http://schemas.openxmlformats.org/officeDocument/2006/relationships/hyperlink" Id="rId23" Target="https://orcid.org/0000-0002-1520-2268" TargetMode="External" /><Relationship Type="http://schemas.openxmlformats.org/officeDocument/2006/relationships/hyperlink" Id="rId22" Target="https://orcid.org/0000-0002-3520-2046" TargetMode="External" /><Relationship Type="http://schemas.openxmlformats.org/officeDocument/2006/relationships/hyperlink" Id="rId24" Target="https://orcid.org/0000-0003-2638-202X" TargetMode="External" /><Relationship Type="http://schemas.openxmlformats.org/officeDocument/2006/relationships/hyperlink" Id="rId78" Target="https://orcid.org/content/requiring-orcid-publication-workflows-open-letter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5" Target="https://publons.com/" TargetMode="External" /><Relationship Type="http://schemas.openxmlformats.org/officeDocument/2006/relationships/hyperlink" Id="rId80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2" Target="http://asapbio.org/letter" TargetMode="External" /><Relationship Type="http://schemas.openxmlformats.org/officeDocument/2006/relationships/hyperlink" Id="rId72" Target="http://blogs.nature.com/ofschemesandmemes/2018/08/01/nature-research-journals-trial-new-tools-to-enhance-code-peer-review-and-publication" TargetMode="External" /><Relationship Type="http://schemas.openxmlformats.org/officeDocument/2006/relationships/hyperlink" Id="rId38" Target="http://bulliedintobadscience.org/" TargetMode="External" /><Relationship Type="http://schemas.openxmlformats.org/officeDocument/2006/relationships/hyperlink" Id="rId62" Target="http://www.bioconductor.org/packages/release/data/experiment/vignettes/RforProteomics/inst/doc/RforProteomics.html" TargetMode="External" /><Relationship Type="http://schemas.openxmlformats.org/officeDocument/2006/relationships/hyperlink" Id="rId34" Target="http://www.leidenmanifesto.org/" TargetMode="External" /><Relationship Type="http://schemas.openxmlformats.org/officeDocument/2006/relationships/hyperlink" Id="rId46" Target="https://arxiv.org/abs/1706.04188" TargetMode="External" /><Relationship Type="http://schemas.openxmlformats.org/officeDocument/2006/relationships/hyperlink" Id="rId86" Target="https://asntech.github.io/format-free-journals/" TargetMode="External" /><Relationship Type="http://schemas.openxmlformats.org/officeDocument/2006/relationships/hyperlink" Id="rId32" Target="https://cos.io/prereg/" TargetMode="External" /><Relationship Type="http://schemas.openxmlformats.org/officeDocument/2006/relationships/hyperlink" Id="rId91" Target="https://doi.org/10.1002/asi.23742" TargetMode="External" /><Relationship Type="http://schemas.openxmlformats.org/officeDocument/2006/relationships/hyperlink" Id="rId60" Target="https://doi.org/10.1007/978-1-4612-2544-7_5" TargetMode="External" /><Relationship Type="http://schemas.openxmlformats.org/officeDocument/2006/relationships/hyperlink" Id="rId42" Target="https://doi.org/10.1016/S0960-9822(95)00109-X" TargetMode="External" /><Relationship Type="http://schemas.openxmlformats.org/officeDocument/2006/relationships/hyperlink" Id="rId63" Target="https://doi.org/10.1016/j.bbapap.2013.04.032" TargetMode="External" /><Relationship Type="http://schemas.openxmlformats.org/officeDocument/2006/relationships/hyperlink" Id="rId50" Target="https://doi.org/10.1038/533452a" TargetMode="External" /><Relationship Type="http://schemas.openxmlformats.org/officeDocument/2006/relationships/hyperlink" Id="rId84" Target="https://doi.org/10.1038/543040e" TargetMode="External" /><Relationship Type="http://schemas.openxmlformats.org/officeDocument/2006/relationships/hyperlink" Id="rId89" Target="https://doi.org/10.1038/d41586-018-07101-w" TargetMode="External" /><Relationship Type="http://schemas.openxmlformats.org/officeDocument/2006/relationships/hyperlink" Id="rId54" Target="https://doi.org/10.1038/d41586-018-07118-1" TargetMode="External" /><Relationship Type="http://schemas.openxmlformats.org/officeDocument/2006/relationships/hyperlink" Id="rId52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8" Target="https://doi.org/10.1126/science.aab2374" TargetMode="External" /><Relationship Type="http://schemas.openxmlformats.org/officeDocument/2006/relationships/hyperlink" Id="rId66" Target="https://doi.org/10.12688/f1000research.10411.2" TargetMode="External" /><Relationship Type="http://schemas.openxmlformats.org/officeDocument/2006/relationships/hyperlink" Id="rId76" Target="https://doi.org/10.12688/f1000research.8731.2" TargetMode="External" /><Relationship Type="http://schemas.openxmlformats.org/officeDocument/2006/relationships/hyperlink" Id="rId48" Target="https://doi.org/10.1371/journal.pbio.2003995" TargetMode="External" /><Relationship Type="http://schemas.openxmlformats.org/officeDocument/2006/relationships/hyperlink" Id="rId74" Target="https://doi.org/10.1371/journal.pbio.2005203" TargetMode="External" /><Relationship Type="http://schemas.openxmlformats.org/officeDocument/2006/relationships/hyperlink" Id="rId93" Target="https://doi.org/10.1371/journal.pbio.3000031" TargetMode="External" /><Relationship Type="http://schemas.openxmlformats.org/officeDocument/2006/relationships/hyperlink" Id="rId56" Target="https://doi.org/10.1371/journal.pone.0194768" TargetMode="External" /><Relationship Type="http://schemas.openxmlformats.org/officeDocument/2006/relationships/hyperlink" Id="rId87" Target="https://doi.org/10.15252/embr.201845731" TargetMode="External" /><Relationship Type="http://schemas.openxmlformats.org/officeDocument/2006/relationships/hyperlink" Id="rId68" Target="https://elifesciences.org/labs/7dbeb390/reproducible-document-stack-supporting-the-next-generation-research-article" TargetMode="External" /><Relationship Type="http://schemas.openxmlformats.org/officeDocument/2006/relationships/hyperlink" Id="rId70" Target="https://f1000research.com/gateways/bioconductor" TargetMode="External" /><Relationship Type="http://schemas.openxmlformats.org/officeDocument/2006/relationships/hyperlink" Id="rId65" Target="https://github.com/lmsimp/bioc-pRoloc-hyperLOPIT-workflow" TargetMode="External" /><Relationship Type="http://schemas.openxmlformats.org/officeDocument/2006/relationships/hyperlink" Id="rId21" Target="https://orcid.org/0000-0001-8607-8025" TargetMode="External" /><Relationship Type="http://schemas.openxmlformats.org/officeDocument/2006/relationships/hyperlink" Id="rId25" Target="https://orcid.org/0000-0001-9147-7418" TargetMode="External" /><Relationship Type="http://schemas.openxmlformats.org/officeDocument/2006/relationships/hyperlink" Id="rId23" Target="https://orcid.org/0000-0002-1520-2268" TargetMode="External" /><Relationship Type="http://schemas.openxmlformats.org/officeDocument/2006/relationships/hyperlink" Id="rId22" Target="https://orcid.org/0000-0002-3520-2046" TargetMode="External" /><Relationship Type="http://schemas.openxmlformats.org/officeDocument/2006/relationships/hyperlink" Id="rId24" Target="https://orcid.org/0000-0003-2638-202X" TargetMode="External" /><Relationship Type="http://schemas.openxmlformats.org/officeDocument/2006/relationships/hyperlink" Id="rId78" Target="https://orcid.org/content/requiring-orcid-publication-workflows-open-letter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5" Target="https://publons.com/" TargetMode="External" /><Relationship Type="http://schemas.openxmlformats.org/officeDocument/2006/relationships/hyperlink" Id="rId80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2018-11-30T06:57:50Z</dcterms:created>
  <dcterms:modified xsi:type="dcterms:W3CDTF">2018-11-30T06:57:50Z</dcterms:modified>
</cp:coreProperties>
</file>