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hyperlink r:id="rId20">
        <w:r>
          <w:rPr>
            <w:rStyle w:val="Hyperlink"/>
          </w:rPr>
          <w:t xml:space="preserve">http://www.emergtoplifesci.org/</w:t>
        </w:r>
      </w:hyperlink>
    </w:p>
    <w:p>
      <w:pPr>
        <w:pStyle w:val="Heading1"/>
      </w:pPr>
      <w:bookmarkStart w:id="21" w:name="encouraging-developments-in-scholarly-publishing-a-view-from-the-life-sciences"/>
      <w:r>
        <w:t xml:space="preserve">Encouraging developments in scholarly publishing: a view from the life sciences</w:t>
      </w:r>
      <w:bookmarkEnd w:id="21"/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orcid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(add your name and orcid here)</w:t>
      </w:r>
    </w:p>
    <w:p>
      <w:pPr>
        <w:pStyle w:val="Heading1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 [Brenner 1995]. Against the backdrop of highly competitive job and</w:t>
      </w:r>
      <w:r>
        <w:t xml:space="preserve"> </w:t>
      </w:r>
      <w:r>
        <w:t xml:space="preserve">grant markets, factors such as these encourage narrow research agendas</w:t>
      </w:r>
      <w:r>
        <w:t xml:space="preserve"> </w:t>
      </w:r>
      <w:r>
        <w:t xml:space="preserve">and tie researchers (particularly in early career) to placing work in</w:t>
      </w:r>
      <w:r>
        <w:t xml:space="preserve"> </w:t>
      </w:r>
      <w:r>
        <w:t xml:space="preserve">exploitative publishers who draw significant funds from academic</w:t>
      </w:r>
      <w:r>
        <w:t xml:space="preserve"> </w:t>
      </w:r>
      <w:r>
        <w:t xml:space="preserve">work. Further, standard publishing criteria, especially for instance on</w:t>
      </w:r>
      <w:r>
        <w:t xml:space="preserve"> </w:t>
      </w:r>
      <w:r>
        <w:t xml:space="preserve">publishing statistically significant, positive results, creates biases</w:t>
      </w:r>
      <w:r>
        <w:t xml:space="preserve"> </w:t>
      </w:r>
      <w:r>
        <w:t xml:space="preserve">across published studies. However, there are several reasons for</w:t>
      </w:r>
      <w:r>
        <w:t xml:space="preserve"> </w:t>
      </w:r>
      <w:r>
        <w:t xml:space="preserve">optimism that the nature of scientific publishing will improve. Here</w:t>
      </w:r>
      <w:r>
        <w:t xml:space="preserve"> </w:t>
      </w:r>
      <w:r>
        <w:t xml:space="preserve">we outline some recent developments in the life sciences.</w:t>
      </w:r>
    </w:p>
    <w:p>
      <w:pPr>
        <w:pStyle w:val="Heading2"/>
      </w:pPr>
      <w:bookmarkStart w:id="27" w:name="preprints"/>
      <w:r>
        <w:t xml:space="preserve">Preprints</w:t>
      </w:r>
      <w:bookmarkEnd w:id="27"/>
    </w:p>
    <w:p>
      <w:pPr>
        <w:pStyle w:val="FirstParagraph"/>
      </w:pPr>
      <w:r>
        <w:t xml:space="preserve">Since 1991 ArXiv [Ginsparg 2017] has become a standard tool for</w:t>
      </w:r>
      <w:r>
        <w:t xml:space="preserve"> </w:t>
      </w:r>
      <w:r>
        <w:t xml:space="preserve">physicists to rapidly disseminate their research findings. On the</w:t>
      </w:r>
      <w:r>
        <w:t xml:space="preserve"> </w:t>
      </w:r>
      <w:r>
        <w:t xml:space="preserve">surface, it does not provide much beyond a collection of PDFs grouped</w:t>
      </w:r>
      <w:r>
        <w:t xml:space="preserve"> </w:t>
      </w:r>
      <w:r>
        <w:t xml:space="preserve">by topic. In certain fields, being the first to publish on the ArXiv</w:t>
      </w:r>
      <w:r>
        <w:t xml:space="preserve"> </w:t>
      </w:r>
      <w:r>
        <w:t xml:space="preserve">is considered to be the key step, although subsequent journal</w:t>
      </w:r>
      <w:r>
        <w:t xml:space="preserve"> </w:t>
      </w:r>
      <w:r>
        <w:t xml:space="preserve">publication is still the norm. Although ArXiv hosts papers in</w:t>
      </w:r>
      <w:r>
        <w:t xml:space="preserve"> </w:t>
      </w:r>
      <w:r>
        <w:t xml:space="preserve">quantitative biology, it was initially assumed that biologists would</w:t>
      </w:r>
      <w:r>
        <w:t xml:space="preserve"> </w:t>
      </w:r>
      <w:r>
        <w:t xml:space="preserve">not adopt a preprint culture: publishing a preprint might prevent</w:t>
      </w:r>
      <w:r>
        <w:t xml:space="preserve"> </w:t>
      </w:r>
      <w:r>
        <w:t xml:space="preserve">subsequent publication in a top-tier journal, or leading to scooping</w:t>
      </w:r>
      <w:r>
        <w:t xml:space="preserve"> </w:t>
      </w:r>
      <w:r>
        <w:t xml:space="preserve">by another group.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pStyle w:val="Compact"/>
        <w:numPr>
          <w:numId w:val="1001"/>
          <w:ilvl w:val="0"/>
        </w:numPr>
      </w:pPr>
      <w:r>
        <w:t xml:space="preserve">Journal editors are browsing the bioRxiv and soliciting that</w:t>
      </w:r>
      <w:r>
        <w:t xml:space="preserve"> </w:t>
      </w:r>
      <w:r>
        <w:t xml:space="preserve">relevant papers be submitted to their journal. (How widespread this</w:t>
      </w:r>
      <w:r>
        <w:t xml:space="preserve"> </w:t>
      </w:r>
      <w:r>
        <w:t xml:space="preserve">is, I’m not sure.)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(often lengthy) direct submission</w:t>
      </w:r>
      <w:r>
        <w:t xml:space="preserve"> </w:t>
      </w:r>
      <w:r>
        <w:t xml:space="preserve">to the journal.</w:t>
      </w:r>
    </w:p>
    <w:p>
      <w:pPr>
        <w:pStyle w:val="Compact"/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and cited in grant applications.</w:t>
      </w:r>
    </w:p>
    <w:p>
      <w:pPr>
        <w:pStyle w:val="FirstParagraph"/>
      </w:pPr>
      <w:r>
        <w:t xml:space="preserve">Several other preprint servers have been created in recent year, in</w:t>
      </w:r>
      <w:r>
        <w:t xml:space="preserve"> </w:t>
      </w:r>
      <w:r>
        <w:t xml:space="preserve">particular</w:t>
      </w:r>
      <w:r>
        <w:t xml:space="preserve"> </w:t>
      </w:r>
      <w:hyperlink r:id="rId28">
        <w:r>
          <w:rPr>
            <w:rStyle w:val="Hyperlink"/>
          </w:rPr>
          <w:t xml:space="preserve">PeerJ Preprints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OSF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 servers</w:t>
        </w:r>
      </w:hyperlink>
      <w:r>
        <w:t xml:space="preserve">, and</w:t>
      </w:r>
      <w:r>
        <w:t xml:space="preserve"> </w:t>
      </w:r>
      <w:hyperlink r:id="rId30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1" w:name="overcoming-the-reproducibility-crisis"/>
      <w:r>
        <w:t xml:space="preserve">Overcoming the reproducibility crisis</w:t>
      </w:r>
      <w:bookmarkEnd w:id="31"/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</w:t>
      </w:r>
      <w:r>
        <w:t xml:space="preserve"> </w:t>
      </w:r>
      <w:r>
        <w:t xml:space="preserve">“</w:t>
      </w:r>
      <w:r>
        <w:t xml:space="preserve">reproducibility crisis</w:t>
      </w:r>
      <w:r>
        <w:t xml:space="preserve">”</w:t>
      </w:r>
      <w:r>
        <w:t xml:space="preserve"> </w:t>
      </w:r>
      <w:r>
        <w:t xml:space="preserve">in science: i.e. many key</w:t>
      </w:r>
      <w:r>
        <w:t xml:space="preserve"> </w:t>
      </w:r>
      <w:r>
        <w:t xml:space="preserve">key findings in publications are either not independently verified, or</w:t>
      </w:r>
      <w:r>
        <w:t xml:space="preserve"> </w:t>
      </w:r>
      <w:r>
        <w:t xml:space="preserve">fail verification when it is done [Baker 2016]. The traditional publishing</w:t>
      </w:r>
      <w:r>
        <w:t xml:space="preserve"> </w:t>
      </w:r>
      <w:r>
        <w:t xml:space="preserve">system must take some responsibility for these low-levels of</w:t>
      </w:r>
      <w:r>
        <w:t xml:space="preserve"> </w:t>
      </w:r>
      <w:r>
        <w:t xml:space="preserve">reproducibility. However, here we list three encouraging developments</w:t>
      </w:r>
      <w:r>
        <w:t xml:space="preserve"> </w:t>
      </w:r>
      <w:r>
        <w:t xml:space="preserve">that should promote reproducibility.</w:t>
      </w:r>
    </w:p>
    <w:p>
      <w:pPr>
        <w:pStyle w:val="BodyText"/>
      </w:pPr>
      <w:r>
        <w:rPr>
          <w:b/>
        </w:rPr>
        <w:t xml:space="preserve">Preregistration papers.</w:t>
      </w:r>
      <w:r>
        <w:t xml:space="preserve"> </w:t>
      </w:r>
      <w:r>
        <w:t xml:space="preserve">An encouraging response to this crisis has</w:t>
      </w:r>
      <w:r>
        <w:t xml:space="preserve"> </w:t>
      </w:r>
      <w:r>
        <w:t xml:space="preserve">been the adoption of preregistration papers [Nosek 2018]. These</w:t>
      </w:r>
      <w:r>
        <w:t xml:space="preserve"> </w:t>
      </w:r>
      <w:r>
        <w:t xml:space="preserve">papers typically describe the introduction and methods sections of a</w:t>
      </w:r>
      <w:r>
        <w:t xml:space="preserve"> </w:t>
      </w:r>
      <w:r>
        <w:t xml:space="preserve">paper,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 is actually performed.</w:t>
      </w:r>
      <w:r>
        <w:t xml:space="preserve"> </w:t>
      </w:r>
      <w:r>
        <w:t xml:space="preserve">This allows reviewers to improve the study design and commits</w:t>
      </w:r>
      <w:r>
        <w:t xml:space="preserve"> </w:t>
      </w:r>
      <w:r>
        <w:t xml:space="preserve">researchers to hypotheses that they wish to study along with their</w:t>
      </w:r>
      <w:r>
        <w:t xml:space="preserve"> </w:t>
      </w:r>
      <w:r>
        <w:t xml:space="preserve">statistical analysis. Once the pre-registration study is approved, it</w:t>
      </w:r>
      <w:r>
        <w:t xml:space="preserve"> </w:t>
      </w:r>
      <w:r>
        <w:t xml:space="preserve">is then published. After the research is completed, another paper</w:t>
      </w:r>
      <w:r>
        <w:t xml:space="preserve"> </w:t>
      </w:r>
      <w:r>
        <w:t xml:space="preserve">describes the results of the study using the pre-registered methods.</w:t>
      </w:r>
      <w:r>
        <w:t xml:space="preserve"> </w:t>
      </w:r>
      <w:r>
        <w:t xml:space="preserve">(Additional findings can be reported, but are clearly marked as such.)</w:t>
      </w:r>
      <w:r>
        <w:t xml:space="preserve"> </w:t>
      </w:r>
      <w:r>
        <w:t xml:space="preserve">Preregistration is most prevalent today in psychology; The Center for</w:t>
      </w:r>
      <w:r>
        <w:t xml:space="preserve"> </w:t>
      </w:r>
      <w:r>
        <w:t xml:space="preserve">Open Science Preregistration Challenge https://cos.io/prereg/ is</w:t>
      </w:r>
      <w:r>
        <w:t xml:space="preserve"> </w:t>
      </w:r>
      <w:r>
        <w:t xml:space="preserve">helping to popularise this notion more broadly.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the current</w:t>
      </w:r>
      <w:r>
        <w:t xml:space="preserve"> </w:t>
      </w:r>
      <w:r>
        <w:t xml:space="preserve">compliance rates are quite low [Federer et al 2018]. Given that it</w:t>
      </w:r>
      <w:r>
        <w:t xml:space="preserve"> </w:t>
      </w:r>
      <w:r>
        <w:t xml:space="preserve">can take considerable time and effort (for both researchers and</w:t>
      </w:r>
      <w:r>
        <w:t xml:space="preserve"> </w:t>
      </w:r>
      <w:r>
        <w:t xml:space="preserve">journals) to ensure data is appropriately shared, these low-uptake</w:t>
      </w:r>
      <w:r>
        <w:t xml:space="preserve"> </w:t>
      </w:r>
      <w:r>
        <w:t xml:space="preserve">rates are perhaps expected. To reward authors for this work,</w:t>
      </w:r>
      <w:r>
        <w:t xml:space="preserve"> </w:t>
      </w:r>
      <w:r>
        <w:t xml:space="preserve">“</w:t>
      </w:r>
      <w:r>
        <w:t xml:space="preserve">data</w:t>
      </w:r>
      <w:r>
        <w:t xml:space="preserve"> </w:t>
      </w:r>
      <w:r>
        <w:t xml:space="preserve">papers</w:t>
      </w:r>
      <w:r>
        <w:t xml:space="preserve">”</w:t>
      </w:r>
      <w:r>
        <w:t xml:space="preserve"> </w:t>
      </w:r>
      <w:r>
        <w:t xml:space="preserve">(a paper that simply describes the data) are becoming more</w:t>
      </w:r>
      <w:r>
        <w:t xml:space="preserve"> </w:t>
      </w:r>
      <w:r>
        <w:t xml:space="preserve">prominent, e.g. 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 have</w:t>
      </w:r>
      <w:r>
        <w:t xml:space="preserve"> </w:t>
      </w:r>
      <w:r>
        <w:t xml:space="preserve">been around for decades, and have been widely used in many</w:t>
      </w:r>
      <w:r>
        <w:t xml:space="preserve"> </w:t>
      </w:r>
      <w:r>
        <w:t xml:space="preserve">research fields. However, even though researchers have been</w:t>
      </w:r>
      <w:r>
        <w:t xml:space="preserve"> </w:t>
      </w:r>
      <w:r>
        <w:t xml:space="preserve">committed to reproducible research, the reproducibility of the</w:t>
      </w:r>
      <w:r>
        <w:t xml:space="preserve"> </w:t>
      </w:r>
      <w:r>
        <w:t xml:space="preserve">final outputs were generally broken upon submission to</w:t>
      </w:r>
      <w:r>
        <w:t xml:space="preserve"> </w:t>
      </w:r>
      <w:r>
        <w:t xml:space="preserve">journals. Recently, some journals have published fully</w:t>
      </w:r>
      <w:r>
        <w:t xml:space="preserve"> </w:t>
      </w:r>
      <w:r>
        <w:t xml:space="preserve">reproducible manuscripts. Examples (need to get the links) are</w:t>
      </w:r>
      <w:r>
        <w:t xml:space="preserve"> </w:t>
      </w:r>
      <w:r>
        <w:t xml:space="preserve">eLife, F1000Research, … (other examples?).</w:t>
      </w:r>
    </w:p>
    <w:p>
      <w:pPr>
        <w:pStyle w:val="Heading2"/>
      </w:pPr>
      <w:bookmarkStart w:id="32" w:name="other-recent-innovations-of-note"/>
      <w:r>
        <w:t xml:space="preserve">Other recent innovations of note</w:t>
      </w:r>
      <w:bookmarkEnd w:id="32"/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hyperlink r:id="rId33">
        <w:r>
          <w:rPr>
            <w:rStyle w:val="Hyperlink"/>
          </w:rPr>
          <w:t xml:space="preserve">https://orcid.org</w:t>
        </w:r>
      </w:hyperlink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[https://orcid.org/content/requiring-orcid-publication-workflows-open-letter].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https://sfdora.org/ 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(http://www.leidenmanifesto.org/).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the content of the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 http://asapbio.org/letter. PubPeer</w:t>
      </w:r>
      <w:r>
        <w:t xml:space="preserve"> </w:t>
      </w:r>
      <w:hyperlink r:id="rId34">
        <w:r>
          <w:rPr>
            <w:rStyle w:val="Hyperlink"/>
          </w:rPr>
          <w:t xml:space="preserve">https://pubpeer.com/</w:t>
        </w:r>
      </w:hyperlink>
      <w:r>
        <w:t xml:space="preserve"> </w:t>
      </w:r>
      <w:r>
        <w:t xml:space="preserve">allows reviewers to</w:t>
      </w:r>
      <w:r>
        <w:t xml:space="preserve"> </w:t>
      </w:r>
      <w:r>
        <w:t xml:space="preserve">‘</w:t>
      </w:r>
      <w:r>
        <w:t xml:space="preserve">claim</w:t>
      </w:r>
      <w:r>
        <w:t xml:space="preserve">’</w:t>
      </w:r>
      <w:r>
        <w:t xml:space="preserve"> </w:t>
      </w:r>
      <w:r>
        <w:t xml:space="preserve">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 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 before peer review.</w:t>
      </w:r>
      <w:r>
        <w:t xml:space="preserve"> </w:t>
      </w:r>
      <w:r>
        <w:t xml:space="preserve">As editors at top-tier journals</w:t>
      </w:r>
      <w:r>
        <w:t xml:space="preserve"> </w:t>
      </w:r>
      <w:r>
        <w:t xml:space="preserve">‘</w:t>
      </w:r>
      <w:r>
        <w:t xml:space="preserve">desk reject</w:t>
      </w:r>
      <w:r>
        <w:t xml:space="preserve">’</w:t>
      </w:r>
      <w:r>
        <w:t xml:space="preserve"> </w:t>
      </w:r>
      <w:r>
        <w:t xml:space="preserve">most submissions before</w:t>
      </w:r>
      <w:r>
        <w:t xml:space="preserve"> </w:t>
      </w:r>
      <w:r>
        <w:t xml:space="preserve">peer review, this leads to many wasted hours [Budd 2017]. Gradually</w:t>
      </w:r>
      <w:r>
        <w:t xml:space="preserve"> </w:t>
      </w:r>
      <w:r>
        <w:t xml:space="preserve">life science journals are now dropping these formatting requirements</w:t>
      </w:r>
      <w:r>
        <w:t xml:space="preserve"> </w:t>
      </w:r>
      <w:r>
        <w:t xml:space="preserve">for initial submissions, instead allowing</w:t>
      </w:r>
      <w:r>
        <w:t xml:space="preserve"> </w:t>
      </w:r>
      <w:r>
        <w:t xml:space="preserve">“</w:t>
      </w:r>
      <w:r>
        <w:t xml:space="preserve">format free</w:t>
      </w:r>
      <w:r>
        <w:t xml:space="preserve">”</w:t>
      </w:r>
      <w:r>
        <w:t xml:space="preserve"> </w:t>
      </w:r>
      <w:r>
        <w:t xml:space="preserve">submissions</w:t>
      </w:r>
      <w:r>
        <w:t xml:space="preserve"> </w:t>
      </w:r>
      <w:r>
        <w:t xml:space="preserve">[Khan 2017; see also https://asntech.github.io/format-free-journals/].</w:t>
      </w:r>
    </w:p>
    <w:p>
      <w:pPr>
        <w:pStyle w:val="Heading2"/>
      </w:pPr>
      <w:bookmarkStart w:id="35" w:name="funder-mandates-and-compliance"/>
      <w:r>
        <w:t xml:space="preserve">Funder mandates and compliance</w:t>
      </w:r>
      <w:bookmarkEnd w:id="35"/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 the</w:t>
      </w:r>
      <w:r>
        <w:t xml:space="preserve"> </w:t>
      </w:r>
      <w:r>
        <w:t xml:space="preserve">WT, as of October 2017 [Larivière and Sugimoto 2018], with compliance</w:t>
      </w:r>
      <w:r>
        <w:t xml:space="preserve"> </w:t>
      </w:r>
      <w:r>
        <w:t xml:space="preserve">for other main funders varying at 70-90%. Where work has been</w:t>
      </w:r>
      <w:r>
        <w:t xml:space="preserve"> </w:t>
      </w:r>
      <w:r>
        <w:t xml:space="preserve">supported by relevant funding agencies, our experience to date is that</w:t>
      </w:r>
      <w:r>
        <w:t xml:space="preserve"> </w:t>
      </w:r>
      <w:r>
        <w:t xml:space="preserve">funds have always been available to support APCs. However, one of us</w:t>
      </w:r>
      <w:r>
        <w:t xml:space="preserve"> </w:t>
      </w:r>
      <w:r>
        <w:t xml:space="preserve">[SJE] has experienced difficulties in finding APCs for papers</w:t>
      </w:r>
      <w:r>
        <w:t xml:space="preserve"> </w:t>
      </w:r>
      <w:r>
        <w:t xml:space="preserve">summarising work supported by internal, rather than external, funds.</w:t>
      </w:r>
    </w:p>
    <w:p>
      <w:pPr>
        <w:pStyle w:val="BodyText"/>
      </w:pPr>
      <w:r>
        <w:t xml:space="preserve">One perhaps unintended consequence of these policies has been that</w:t>
      </w:r>
      <w:r>
        <w:t xml:space="preserve"> </w:t>
      </w:r>
      <w:r>
        <w:t xml:space="preserve">most traditional journals have established a</w:t>
      </w:r>
      <w:r>
        <w:t xml:space="preserve"> </w:t>
      </w:r>
      <w:r>
        <w:t xml:space="preserve">“</w:t>
      </w:r>
      <w:r>
        <w:t xml:space="preserve">hybrid</w:t>
      </w:r>
      <w:r>
        <w:t xml:space="preserve">”</w:t>
      </w:r>
      <w:r>
        <w:t xml:space="preserve"> </w:t>
      </w:r>
      <w:r>
        <w:t xml:space="preserve">model of</w:t>
      </w:r>
      <w:r>
        <w:t xml:space="preserve"> </w:t>
      </w:r>
      <w:r>
        <w:t xml:space="preserve">publishing, with APCs that on average exceed those in pure OA journals</w:t>
      </w:r>
      <w:r>
        <w:t xml:space="preserve"> </w:t>
      </w:r>
      <w:r>
        <w:t xml:space="preserve">[Pinfield et al 2017]. This hybrid model of publishing has shown</w:t>
      </w:r>
      <w:r>
        <w:t xml:space="preserve"> </w:t>
      </w:r>
      <w:r>
        <w:t xml:space="preserve">little signs to date of disappearing, as e.g. funds from Wellcome</w:t>
      </w:r>
      <w:r>
        <w:t xml:space="preserve"> </w:t>
      </w:r>
      <w:r>
        <w:t xml:space="preserve">Trust have supported high APCs. The success of OA publishing however</w:t>
      </w:r>
      <w:r>
        <w:t xml:space="preserve"> </w:t>
      </w:r>
      <w:r>
        <w:t xml:space="preserve">has meant that government-provided funds can often no longer cover all</w:t>
      </w:r>
      <w:r>
        <w:t xml:space="preserve"> </w:t>
      </w:r>
      <w:r>
        <w:t xml:space="preserve">APCs and UK institutions are beginning to restrict the choice of</w:t>
      </w:r>
      <w:r>
        <w:t xml:space="preserve"> </w:t>
      </w:r>
      <w:r>
        <w:t xml:space="preserve">journals for which APCs will be paid. However, The OA publishing</w:t>
      </w:r>
      <w:r>
        <w:t xml:space="preserve"> </w:t>
      </w:r>
      <w:r>
        <w:t xml:space="preserve">world is due to change dramatically in 2020 with the recent</w:t>
      </w:r>
      <w:r>
        <w:t xml:space="preserve"> </w:t>
      </w:r>
      <w:r>
        <w:t xml:space="preserve">announcement of</w:t>
      </w:r>
      <w:r>
        <w:t xml:space="preserve"> </w:t>
      </w:r>
      <w:r>
        <w:t xml:space="preserve">“</w:t>
      </w:r>
      <w:r>
        <w:t xml:space="preserve">plan S</w:t>
      </w:r>
      <w:r>
        <w:t xml:space="preserve">”</w:t>
      </w:r>
      <w:r>
        <w:t xml:space="preserve"> </w:t>
      </w:r>
      <w:r>
        <w:t xml:space="preserve">[Schiltz 2018],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 the nature of the APC cap, recognition</w:t>
      </w:r>
      <w:r>
        <w:t xml:space="preserve"> </w:t>
      </w:r>
      <w:r>
        <w:t xml:space="preserve">of green and diamond OA).</w:t>
      </w:r>
    </w:p>
    <w:p>
      <w:pPr>
        <w:pStyle w:val="Heading1"/>
      </w:pPr>
      <w:bookmarkStart w:id="36" w:name="concluding-remarks"/>
      <w:r>
        <w:t xml:space="preserve">Concluding remarks</w:t>
      </w:r>
      <w:bookmarkEnd w:id="36"/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</w:t>
      </w:r>
      <w:r>
        <w:t xml:space="preserve"> </w:t>
      </w:r>
      <w:r>
        <w:t xml:space="preserve">‘</w:t>
      </w:r>
      <w:r>
        <w:t xml:space="preserve">Bullied into Bad Science</w:t>
      </w:r>
      <w:r>
        <w:t xml:space="preserve">’</w:t>
      </w:r>
      <w:r>
        <w:t xml:space="preserve"> </w:t>
      </w:r>
      <w:r>
        <w:t xml:space="preserve">(http://bulliedintobadscience.org/).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</w:t>
      </w:r>
      <w:r>
        <w:t xml:space="preserve"> </w:t>
      </w:r>
      <w:r>
        <w:t xml:space="preserve">“</w:t>
      </w:r>
      <w:r>
        <w:t xml:space="preserve">publish or perish</w:t>
      </w:r>
      <w:r>
        <w:t xml:space="preserve">”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37" w:name="glossaryabbreviations"/>
      <w:r>
        <w:t xml:space="preserve">Glossary/abbreviations</w:t>
      </w:r>
      <w:bookmarkEnd w:id="37"/>
    </w:p>
    <w:p>
      <w:pPr>
        <w:pStyle w:val="FirstParagraph"/>
      </w:pPr>
      <w:r>
        <w:t xml:space="preserve">Perhaps need a list of key abbreviations/terms that are jargon</w:t>
      </w:r>
      <w:r>
        <w:t xml:space="preserve"> </w:t>
      </w:r>
      <w:r>
        <w:t xml:space="preserve">(APCs/hybrid/diamond OA).</w:t>
      </w:r>
    </w:p>
    <w:p>
      <w:pPr>
        <w:pStyle w:val="Heading1"/>
      </w:pPr>
      <w:bookmarkStart w:id="38" w:name="references"/>
      <w:r>
        <w:t xml:space="preserve">References</w:t>
      </w:r>
      <w:bookmarkEnd w:id="38"/>
    </w:p>
    <w:p>
      <w:pPr>
        <w:pStyle w:val="FirstParagraph"/>
      </w:pPr>
      <w:r>
        <w:t xml:space="preserve">Baker M (2016) 1,500 scientists lift the lid on</w:t>
      </w:r>
      <w:r>
        <w:t xml:space="preserve"> </w:t>
      </w:r>
      <w:r>
        <w:t xml:space="preserve">reproducibility. Nature 533:452–454 Available at:</w:t>
      </w:r>
      <w:r>
        <w:t xml:space="preserve"> </w:t>
      </w:r>
      <w:r>
        <w:t xml:space="preserve">http://dx.doi.org/10.1038/533452a</w:t>
      </w:r>
    </w:p>
    <w:p>
      <w:pPr>
        <w:pStyle w:val="BodyText"/>
      </w:pPr>
      <w:r>
        <w:t xml:space="preserve">Brenner S (1995) Loose end. Curr Biol 5:568 Available at:</w:t>
      </w:r>
      <w:r>
        <w:t xml:space="preserve"> </w:t>
      </w:r>
      <w:r>
        <w:t xml:space="preserve">http://www.sciencedirect.com/science/article/pii/S096098229500109X</w:t>
      </w:r>
    </w:p>
    <w:p>
      <w:pPr>
        <w:pStyle w:val="BodyText"/>
      </w:pPr>
      <w:r>
        <w:t xml:space="preserve">Budd J (2017) Publishing: Reformatting wastes public funds. Nature</w:t>
      </w:r>
      <w:r>
        <w:t xml:space="preserve"> </w:t>
      </w:r>
      <w:r>
        <w:t xml:space="preserve">543:40 Available at: http://dx.doi.org/10.1038/543040e</w:t>
      </w:r>
    </w:p>
    <w:p>
      <w:pPr>
        <w:pStyle w:val="BodyText"/>
      </w:pPr>
      <w:r>
        <w:t xml:space="preserve">Else H (2018) Radical open-access plan could spell end to journal</w:t>
      </w:r>
      <w:r>
        <w:t xml:space="preserve"> </w:t>
      </w:r>
      <w:r>
        <w:t xml:space="preserve">subscriptions. Nature 561:17–18 Available at:</w:t>
      </w:r>
      <w:r>
        <w:t xml:space="preserve"> </w:t>
      </w:r>
      <w:r>
        <w:t xml:space="preserve">http://dx.doi.org/10.1038/d41586-018-06178-7</w:t>
      </w:r>
    </w:p>
    <w:p>
      <w:pPr>
        <w:pStyle w:val="BodyText"/>
      </w:pPr>
      <w:r>
        <w:t xml:space="preserve">Federer LM, Belter CW, Joubert DJ, Livinski A, Lu Y-L, Snyders LN,</w:t>
      </w:r>
      <w:r>
        <w:t xml:space="preserve"> </w:t>
      </w:r>
      <w:r>
        <w:t xml:space="preserve">Thompson H (2018) Data sharing in PLOS ONE: An analysis of Data</w:t>
      </w:r>
      <w:r>
        <w:t xml:space="preserve"> </w:t>
      </w:r>
      <w:r>
        <w:t xml:space="preserve">Availability Statements. PLoS One 13:e0194768 Available at:</w:t>
      </w:r>
      <w:r>
        <w:t xml:space="preserve"> </w:t>
      </w:r>
      <w:r>
        <w:t xml:space="preserve">http://dx.doi.org/10.1371/journal.pone.0194768</w:t>
      </w:r>
    </w:p>
    <w:p>
      <w:pPr>
        <w:pStyle w:val="BodyText"/>
      </w:pPr>
      <w:r>
        <w:t xml:space="preserve">Ginsparg P (2017) Preprint Déjà Vu: an FAQ. arXiv [csDL] Available at:</w:t>
      </w:r>
      <w:r>
        <w:t xml:space="preserve"> </w:t>
      </w:r>
      <w:r>
        <w:t xml:space="preserve">https://arxiv.org/abs/1706.04188</w:t>
      </w:r>
    </w:p>
    <w:p>
      <w:pPr>
        <w:pStyle w:val="BodyText"/>
      </w:pPr>
      <w:r>
        <w:t xml:space="preserve">Khan A, Montenegro-Montero A, Mathelier A (2018) Put science first and</w:t>
      </w:r>
      <w:r>
        <w:t xml:space="preserve"> </w:t>
      </w:r>
      <w:r>
        <w:t xml:space="preserve">formatting later. EMBO Rep 19 Available at:</w:t>
      </w:r>
      <w:r>
        <w:t xml:space="preserve"> </w:t>
      </w:r>
      <w:r>
        <w:t xml:space="preserve">http://dx.doi.org/10.15252/embr.201845731</w:t>
      </w:r>
    </w:p>
    <w:p>
      <w:pPr>
        <w:pStyle w:val="BodyText"/>
      </w:pPr>
      <w:r>
        <w:t xml:space="preserve">Larivière V, Sugimoto CR (2018) Do authors comply when funders enforce</w:t>
      </w:r>
      <w:r>
        <w:t xml:space="preserve"> </w:t>
      </w:r>
      <w:r>
        <w:t xml:space="preserve">open access to research? Nature 562:483 Available at:</w:t>
      </w:r>
      <w:r>
        <w:t xml:space="preserve"> </w:t>
      </w:r>
      <w:r>
        <w:t xml:space="preserve">https://www.nature.com/articles/d41586-018-07101-w</w:t>
      </w:r>
    </w:p>
    <w:p>
      <w:pPr>
        <w:pStyle w:val="BodyText"/>
      </w:pPr>
      <w:r>
        <w:t xml:space="preserve">Nosek BA, Ebersole CR, DeHaven AC, Mellor DT (2018) The</w:t>
      </w:r>
      <w:r>
        <w:t xml:space="preserve"> </w:t>
      </w:r>
      <w:r>
        <w:t xml:space="preserve">preregistration revolution. Proc Natl Acad Sci U S A 115:2600–2606</w:t>
      </w:r>
      <w:r>
        <w:t xml:space="preserve"> </w:t>
      </w:r>
      <w:r>
        <w:t xml:space="preserve">Available at: http://dx.doi.org/10.1073/pnas.1708274114</w:t>
      </w:r>
    </w:p>
    <w:p>
      <w:pPr>
        <w:pStyle w:val="BodyText"/>
      </w:pPr>
      <w:r>
        <w:t xml:space="preserve">Schiltz M (2018) Science without publication paywalls: cOAlition S for</w:t>
      </w:r>
      <w:r>
        <w:t xml:space="preserve"> </w:t>
      </w:r>
      <w:r>
        <w:t xml:space="preserve">the realisation of full and immediate Open Access. PLoS Biol</w:t>
      </w:r>
      <w:r>
        <w:t xml:space="preserve"> </w:t>
      </w:r>
      <w:r>
        <w:t xml:space="preserve">16:e3000031 Available at:</w:t>
      </w:r>
      <w:r>
        <w:t xml:space="preserve"> </w:t>
      </w:r>
      <w:r>
        <w:t xml:space="preserve">http://dx.doi.org/10.1371/journal.pbio.3000031</w:t>
      </w:r>
    </w:p>
    <w:p>
      <w:pPr>
        <w:pStyle w:val="Heading1"/>
      </w:pPr>
      <w:bookmarkStart w:id="39" w:name="notes-not-for-paper"/>
      <w:r>
        <w:t xml:space="preserve">notes (not for paper)</w:t>
      </w:r>
      <w:bookmarkEnd w:id="39"/>
    </w:p>
    <w:p>
      <w:pPr>
        <w:pStyle w:val="FirstParagraph"/>
      </w:pPr>
      <w:r>
        <w:t xml:space="preserve">removed text about overlay journal…</w:t>
      </w:r>
      <w:r>
        <w:t xml:space="preserve"> </w:t>
      </w:r>
      <w:r>
        <w:t xml:space="preserve">BioRxiv can even be used as the substrate for an overlay journal</w:t>
      </w:r>
      <w:r>
        <w:t xml:space="preserve"> </w:t>
      </w:r>
      <w:r>
        <w:t xml:space="preserve">(example?), and we look forward to the creation of prominent diamond</w:t>
      </w:r>
      <w:r>
        <w:t xml:space="preserve"> </w:t>
      </w:r>
      <w:r>
        <w:t xml:space="preserve">OA overlay journals in the life sciences.</w:t>
      </w:r>
    </w:p>
    <w:p>
      <w:pPr>
        <w:pStyle w:val="BodyText"/>
      </w:pPr>
      <w:r>
        <w:rPr>
          <w:b/>
        </w:rPr>
        <w:t xml:space="preserve">Badges</w:t>
      </w:r>
      <w:r>
        <w:t xml:space="preserve"> </w:t>
      </w:r>
      <w:r>
        <w:t xml:space="preserve">to promote sharing of resources, rather than just the</w:t>
      </w:r>
      <w:r>
        <w:t xml:space="preserve"> </w:t>
      </w:r>
      <w:r>
        <w:t xml:space="preserve">papers. e.g. mention data papers? (Not sure whether to include</w:t>
      </w:r>
      <w:r>
        <w:t xml:space="preserve"> </w:t>
      </w:r>
      <w:r>
        <w:t xml:space="preserve">this.) (Ross: I’m not that enthused about badges https://blogs.plos.org/absolutely-maybe/2017/08/29/bias-in-open-science-advocacy-the-case-of-article-badges-for-data-sharing/ )</w:t>
      </w:r>
    </w:p>
    <w:p>
      <w:pPr>
        <w:pStyle w:val="BodyText"/>
      </w:pPr>
      <w:r>
        <w:t xml:space="preserve">ORCID This will undoubtedly help reduce many types of authorship fraud (cite http://nautil.us/issue/42/fakes/why-fake-data-when-you-can-fake-a-scientist ?)</w:t>
      </w:r>
    </w:p>
    <w:p>
      <w:pPr>
        <w:pStyle w:val="BodyText"/>
      </w:pPr>
      <w:r>
        <w:t xml:space="preserve">Crossref can now register DOIs for peer</w:t>
      </w:r>
      <w:r>
        <w:t xml:space="preserve"> </w:t>
      </w:r>
      <w:r>
        <w:t xml:space="preserve">review reports as a distinct content type, and formally link these to</w:t>
      </w:r>
      <w:r>
        <w:t xml:space="preserve"> </w:t>
      </w:r>
      <w:r>
        <w:t xml:space="preserve">the DOIs of the articles they review</w:t>
      </w:r>
      <w:r>
        <w:t xml:space="preserve"> </w:t>
      </w:r>
      <w:r>
        <w:t xml:space="preserve">(https://www.crossref.org/news/2018-06-05-introducing-metadata-for-peer-review/).</w:t>
      </w:r>
    </w:p>
    <w:p>
      <w:pPr>
        <w:pStyle w:val="BodyText"/>
      </w:pPr>
      <w:r>
        <w:t xml:space="preserve">Nice figure for preprint usage at: http://www.prepubmed.org/monthly_stats/</w:t>
      </w:r>
      <w:r>
        <w:t xml:space="preserve"> </w:t>
      </w:r>
      <w:r>
        <w:t xml:space="preserve">Anon (2017) Are preprints the future of biology? A survival guide for</w:t>
      </w:r>
      <w:r>
        <w:t xml:space="preserve"> </w:t>
      </w:r>
      <w:r>
        <w:t xml:space="preserve">scientists. Science | AAAS Available at:</w:t>
      </w:r>
      <w:r>
        <w:t xml:space="preserve"> </w:t>
      </w:r>
      <w:r>
        <w:t xml:space="preserve">https://www.sciencemag.org/news/2017/09/are-preprints-future-biology-survival-guide-scientists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www.emergtoplifesci.org/" TargetMode="External" /><Relationship Type="http://schemas.openxmlformats.org/officeDocument/2006/relationships/hyperlink" Id="rId33" Target="https://orcid.org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29" Target="https://osf.io/preprints/" TargetMode="External" /><Relationship Type="http://schemas.openxmlformats.org/officeDocument/2006/relationships/hyperlink" Id="rId28" Target="https://peerj.com/preprints/" TargetMode="External" /><Relationship Type="http://schemas.openxmlformats.org/officeDocument/2006/relationships/hyperlink" Id="rId30" Target="https://preprints.org" TargetMode="External" /><Relationship Type="http://schemas.openxmlformats.org/officeDocument/2006/relationships/hyperlink" Id="rId34" Target="https://pubpeer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2018-10-28T05:42:54Z</dcterms:created>
  <dcterms:modified xsi:type="dcterms:W3CDTF">2018-10-28T05:42:54Z</dcterms:modified>
</cp:coreProperties>
</file>