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Credit One - Exploratory Data Analysis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Informal Report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(AKA Lessons Learned)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Samantha Goodman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Business Value found during EDA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who were granted lower credit limits account for most of the defaults.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Men who were granted less than 80,000NT in credit defaulted at a rate of almost 34%.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For this reason, maybe raising the lowest credit offered to over 90,000NT to eliminate many of the problem customers.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so many people with lower credit limits are defaulting, it seems like there is a problem with the decision making process whether or not to grant them a credit line.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 customer is two months behind in bill payments, they are 50% likely to default. Every month they are behind contributes to the chance that they will default on the loan.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Lessons learned from doing EDA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easy to reuse code from previous datasets if comments are clear and variables are clearly labeled.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text to a plot can make additional details like a horizontal line representing the average default rate more clear.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when you isolate a feature, it doesn’t lead to any great insights. I found many times I would dig into the data, only to find that the smaller grouped data mimicked the larger pattern, and thus wasn’t a valuable segment to examine.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 for Guido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At this point I haven’t built a model or even know what kind of model I will choose, but it is apparent that many people are granted credit lines who are later in default, particularly those granted lower value credit lines.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appears that customers who do not pay their bills are likely to default on the loan. This trend starts at 2 months behind and continues the longer they do not pay.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