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Gwanggyu Sun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Stevan Jeknic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Tom Handley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Gwanggyu Sun &lt;</w:t>
        </w:r>
        <w:hyperlink r:id="rId20">
          <w:r>
            <w:rPr>
              <w:rStyle w:val="Hyperlink"/>
            </w:rPr>
            <w:t xml:space="preserve">ggsun@stanford.edu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Stevan Jeknic &lt;</w:t>
        </w:r>
        <w:hyperlink r:id="rId21">
          <w:r>
            <w:rPr>
              <w:rStyle w:val="Hyperlink"/>
            </w:rPr>
            <w:t xml:space="preserve">sjeknic@stanford.edu</w:t>
          </w:r>
        </w:hyperlink>
        <w:r>
          <w:rPr>
            <w:rStyle w:val="Hyperlink"/>
          </w:rPr>
          <w:t xml:space="preserve">&gt;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Tom Handley &lt;</w:t>
        </w:r>
        <w:hyperlink r:id="rId22">
          <w:r>
            <w:rPr>
              <w:rStyle w:val="Hyperlink"/>
            </w:rPr>
            <w:t xml:space="preserve">thandley@stanford.edu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transcription; mRNA degradation; elongation</w:t>
      </w:r>
    </w:p>
    <w:p>
      <w:pPr>
        <w:pStyle w:val="BodyText"/>
      </w:pPr>
      <w:r>
        <w:t xml:space="preserve">Highlights: Quantitative halflives and elongation rates for individual mRNA species.</w:t>
      </w:r>
    </w:p>
    <w:bookmarkStart w:id="23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Quantitative data regarding the rates of mRNA degradation and transcript elongation</w:t>
      </w:r>
      <w:r>
        <w:t xml:space="preserve"> </w:t>
      </w:r>
      <w:r>
        <w:t xml:space="preserve">are sparse. Typically, mathematical models involving these processes, use a single</w:t>
      </w:r>
      <w:r>
        <w:t xml:space="preserve"> </w:t>
      </w:r>
      <w:r>
        <w:t xml:space="preserve">rate constant that applies to all mRNA species. However, recent work</w:t>
      </w:r>
      <w:r>
        <w:rPr>
          <w:vertAlign w:val="superscript"/>
        </w:rPr>
        <w:t xml:space="preserve">1</w:t>
      </w:r>
      <w:r>
        <w:t xml:space="preserve"> </w:t>
      </w:r>
      <w:r>
        <w:t xml:space="preserve">has shown that this assumption is not valid. As such, we focused on using some of</w:t>
      </w:r>
      <w:r>
        <w:t xml:space="preserve"> </w:t>
      </w:r>
      <w:r>
        <w:t xml:space="preserve">these recently collected data to visualize the distribution of individual mRNA</w:t>
      </w:r>
      <w:r>
        <w:t xml:space="preserve"> </w:t>
      </w:r>
      <w:r>
        <w:t xml:space="preserve">lifetimes and elongation rates.</w:t>
      </w:r>
    </w:p>
    <w:bookmarkEnd w:id="23"/>
    <w:bookmarkStart w:id="24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4"/>
    <w:bookmarkStart w:id="25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p>
      <w:pPr>
        <w:pStyle w:val="FirstParagraph"/>
      </w:pPr>
      <w:r>
        <w:t xml:space="preserve">We are using RNA-seq data that were collected in exponentially growing</w:t>
      </w:r>
      <w:r>
        <w:t xml:space="preserve"> </w:t>
      </w:r>
      <w:r>
        <w:rPr>
          <w:iCs/>
          <w:i/>
        </w:rPr>
        <w:t xml:space="preserve">E</w:t>
      </w:r>
      <w:r>
        <w:t xml:space="preserve">.</w:t>
      </w:r>
      <w:r>
        <w:t xml:space="preserve"> </w:t>
      </w:r>
      <w:r>
        <w:rPr>
          <w:iCs/>
          <w:i/>
        </w:rPr>
        <w:t xml:space="preserve">coli</w:t>
      </w:r>
      <w:r>
        <w:t xml:space="preserve"> </w:t>
      </w:r>
      <w:r>
        <w:t xml:space="preserve">cells by Chen et al.</w:t>
      </w:r>
      <w:r>
        <w:rPr>
          <w:vertAlign w:val="superscript"/>
        </w:rPr>
        <w:t xml:space="preserve">1</w:t>
      </w:r>
      <w:r>
        <w:t xml:space="preserve">.</w:t>
      </w:r>
    </w:p>
    <w:bookmarkEnd w:id="25"/>
    <w:bookmarkStart w:id="27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Chen20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Chen, H., Shiroguchi, K., Ge, H. &amp; Xie, X. S. Genome-wide study of mRNA degradation and transcript elongation in escherichia coli.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rPr>
          <w:bCs/>
          <w:b/>
        </w:rPr>
        <w:t xml:space="preserve">11</w:t>
      </w:r>
      <w:r>
        <w:t xml:space="preserve">, 781 (2015).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2021-12-10 10:28:16 using the following computational environment and dependencies:</w:t>
      </w:r>
    </w:p>
    <w:p>
      <w:pPr>
        <w:pStyle w:val="BodyText"/>
      </w:pPr>
      <w:r>
        <w:t xml:space="preserve">The current Git commit details are: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0" Target="mailto:ggsun@stanford.edu" TargetMode="External" /><Relationship Type="http://schemas.openxmlformats.org/officeDocument/2006/relationships/hyperlink" Id="rId21" Target="mailto:sjeknic@stanford.edu" TargetMode="External" /><Relationship Type="http://schemas.openxmlformats.org/officeDocument/2006/relationships/hyperlink" Id="rId22" Target="mailto:thandley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ggsun@stanford.edu" TargetMode="External" /><Relationship Type="http://schemas.openxmlformats.org/officeDocument/2006/relationships/hyperlink" Id="rId21" Target="mailto:sjeknic@stanford.edu" TargetMode="External" /><Relationship Type="http://schemas.openxmlformats.org/officeDocument/2006/relationships/hyperlink" Id="rId22" Target="mailto:thandley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Gwanggyu Sun1,✉, Stevan Jeknic1,✉, and Tom Handley1,✉</dc:creator>
  <cp:keywords/>
  <dcterms:created xsi:type="dcterms:W3CDTF">2021-12-10T18:28:17Z</dcterms:created>
  <dcterms:modified xsi:type="dcterms:W3CDTF">2021-12-10T18:28:17Z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10 December, 2021</vt:lpwstr>
  </property>
  <property fmtid="{D5CDD505-2E9C-101B-9397-08002B2CF9AE}" pid="6" name="highlights">
    <vt:lpwstr>Quantitative halflives and elongation rates for individual mRNA species.</vt:lpwstr>
  </property>
  <property fmtid="{D5CDD505-2E9C-101B-9397-08002B2CF9AE}" pid="7" name="output">
    <vt:lpwstr/>
  </property>
</Properties>
</file>