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Instructivo académico del juego Tensión de Carbono</w:t>
      </w:r>
    </w:p>
    <w:p>
      <w:pPr>
        <w:pStyle w:val="Subtitle"/>
      </w:pPr>
      <w:r>
        <w:t>Orientaciones para el profesor y limitaciones de la versión 2</w:t>
        <w:br/>
        <w:t>Versión 2.0.0  |  28 de octubre de 2026</w:t>
      </w:r>
    </w:p>
    <w:p>
      <w:pPr>
        <w:pStyle w:val="Heading1"/>
      </w:pPr>
      <w:r>
        <w:t>1 Propósito formativo y organización</w:t>
      </w:r>
    </w:p>
    <w:p>
      <w:r>
        <w:rPr>
          <w:b/>
        </w:rPr>
        <w:t xml:space="preserve">Uso. </w:t>
      </w:r>
      <w:r>
        <w:t>El instructivo orienta la preparación, conducción y evaluación de una simulación de mercado de créditos de carbono vinculada a un impuesto.</w:t>
      </w:r>
    </w:p>
    <w:p>
      <w:r>
        <w:t>La actividad permite que estudiantes con microeconomía y macroeconomía básicas expliquen de dónde surge un crédito, por qué una empresa lo compra, cómo se negocia su precio y qué relación existe entre producción, financiación y emisiones. El programa calcula; los participantes argumentan, negocian y deciden.</w:t>
      </w:r>
    </w:p>
    <w:p>
      <w:r>
        <w:t>Un crédito representa una tonelada de CO₂ equivalente de reducción verificada frente a una línea base. El juego modela créditos utilizados para compensar parte de una base tributaria. Su alcance no equivale a un sistema de comercio de permisos ni a una reproducción de todos los mercados de carbono.</w:t>
      </w:r>
    </w:p>
    <w:tbl>
      <w:tblPr>
        <w:tblW w:type="auto" w:w="0"/>
        <w:jc w:val="center"/>
        <w:tblLayout w:type="fixed"/>
        <w:tblLook w:firstColumn="1" w:firstRow="1" w:lastColumn="0" w:lastRow="0" w:noHBand="0" w:noVBand="1" w:val="04A0"/>
      </w:tblPr>
      <w:tblGrid>
        <w:gridCol w:w="1483"/>
        <w:gridCol w:w="1872"/>
        <w:gridCol w:w="6725"/>
      </w:tblGrid>
      <w:tr>
        <w:trPr>
          <w:tblHeader/>
          <w:cantSplit/>
        </w:trPr>
        <w:tc>
          <w:tcPr>
            <w:tcW w:type="dxa" w:w="1483"/>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color w:val="FFFFFF"/>
                <w:sz w:val="21"/>
              </w:rPr>
              <w:t>Participante</w:t>
            </w:r>
          </w:p>
        </w:tc>
        <w:tc>
          <w:tcPr>
            <w:tcW w:type="dxa" w:w="1872"/>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Recursos iniciales</w:t>
            </w:r>
          </w:p>
        </w:tc>
        <w:tc>
          <w:tcPr>
            <w:tcW w:type="dxa" w:w="6725"/>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color w:val="FFFFFF"/>
                <w:sz w:val="21"/>
              </w:rPr>
              <w:t>Decisiones y responsabilidad</w:t>
            </w:r>
          </w:p>
        </w:tc>
      </w:tr>
      <w:tr>
        <w:trPr>
          <w:cantSplit/>
        </w:trPr>
        <w:tc>
          <w:tcPr>
            <w:tcW w:type="dxa" w:w="1483"/>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Empresa A</w:t>
            </w:r>
          </w:p>
        </w:tc>
        <w:tc>
          <w:tcPr>
            <w:tcW w:type="dxa" w:w="187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USD 5.000</w:t>
            </w:r>
          </w:p>
        </w:tc>
        <w:tc>
          <w:tcPr>
            <w:tcW w:type="dxa" w:w="6725"/>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Producción y compra de créditos; intensidad 0,40 tCO₂e por tonelada de producto.</w:t>
            </w:r>
          </w:p>
        </w:tc>
      </w:tr>
      <w:tr>
        <w:trPr>
          <w:cantSplit/>
        </w:trPr>
        <w:tc>
          <w:tcPr>
            <w:tcW w:type="dxa" w:w="1483"/>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Empresa B</w:t>
            </w:r>
          </w:p>
        </w:tc>
        <w:tc>
          <w:tcPr>
            <w:tcW w:type="dxa" w:w="1872"/>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USD 5.000</w:t>
            </w:r>
          </w:p>
        </w:tc>
        <w:tc>
          <w:tcPr>
            <w:tcW w:type="dxa" w:w="6725"/>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Las mismas decisiones; intensidad 0,50.</w:t>
            </w:r>
          </w:p>
        </w:tc>
      </w:tr>
      <w:tr>
        <w:trPr>
          <w:cantSplit/>
        </w:trPr>
        <w:tc>
          <w:tcPr>
            <w:tcW w:type="dxa" w:w="1483"/>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Empresa C</w:t>
            </w:r>
          </w:p>
        </w:tc>
        <w:tc>
          <w:tcPr>
            <w:tcW w:type="dxa" w:w="187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USD 5.000</w:t>
            </w:r>
          </w:p>
        </w:tc>
        <w:tc>
          <w:tcPr>
            <w:tcW w:type="dxa" w:w="6725"/>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Las mismas decisiones; intensidad 0,60.</w:t>
            </w:r>
          </w:p>
        </w:tc>
      </w:tr>
      <w:tr>
        <w:trPr>
          <w:cantSplit/>
        </w:trPr>
        <w:tc>
          <w:tcPr>
            <w:tcW w:type="dxa" w:w="1483"/>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Fundación F1</w:t>
            </w:r>
          </w:p>
        </w:tc>
        <w:tc>
          <w:tcPr>
            <w:tcW w:type="dxa" w:w="1872"/>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USD 1.000</w:t>
            </w:r>
          </w:p>
        </w:tc>
        <w:tc>
          <w:tcPr>
            <w:tcW w:type="dxa" w:w="6725"/>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Proyectos y oferta de créditos sobre una línea base externa de 100 tCO₂e por año.</w:t>
            </w:r>
          </w:p>
        </w:tc>
      </w:tr>
      <w:tr>
        <w:trPr>
          <w:cantSplit/>
        </w:trPr>
        <w:tc>
          <w:tcPr>
            <w:tcW w:type="dxa" w:w="1483"/>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Fundación F2</w:t>
            </w:r>
          </w:p>
        </w:tc>
        <w:tc>
          <w:tcPr>
            <w:tcW w:type="dxa" w:w="187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USD 1.000</w:t>
            </w:r>
          </w:p>
        </w:tc>
        <w:tc>
          <w:tcPr>
            <w:tcW w:type="dxa" w:w="6725"/>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Las mismas decisiones, en actividades externas independientes.</w:t>
            </w:r>
          </w:p>
        </w:tc>
      </w:tr>
      <w:tr>
        <w:trPr>
          <w:cantSplit/>
        </w:trPr>
        <w:tc>
          <w:tcPr>
            <w:tcW w:type="dxa" w:w="1483"/>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Estado</w:t>
            </w:r>
          </w:p>
        </w:tc>
        <w:tc>
          <w:tcPr>
            <w:tcW w:type="dxa" w:w="1872"/>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Fondo inicial cero</w:t>
            </w:r>
          </w:p>
        </w:tc>
        <w:tc>
          <w:tcPr>
            <w:tcW w:type="dxa" w:w="6725"/>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Tarifa tributaria y porcentaje común de cofinanciación con los recursos disponibles.</w:t>
            </w:r>
          </w:p>
        </w:tc>
      </w:tr>
    </w:tbl>
    <w:p>
      <w:pPr>
        <w:spacing w:after="0" w:line="60" w:lineRule="exact"/>
      </w:pPr>
    </w:p>
    <w:p>
      <w:r>
        <w:t>Cada mesa reúne seis estudiantes y representa una economía independiente durante cuatro años. Para treinta estudiantes se forman cinco mesas. No se realizan intercambios entre mesas. Ningún rol es protagonista: las empresas eligen su producción y contrapartes, las fundaciones su inversión y precios, y el Estado su política dentro de los límites establecidos.</w:t>
      </w:r>
    </w:p>
    <w:p>
      <w:r>
        <w:t>El profesor facilita, verifica los lotes y cierra las rondas. La operación del computador puede rotarse sin transferir la autoridad económica de los roles. El objetivo colectivo exige no superar 1.400 tCO₂e acumuladas; los objetivos individuales se evalúan con puntos propios de cada rol.</w:t>
      </w:r>
    </w:p>
    <w:p>
      <w:pPr>
        <w:pStyle w:val="Heading1"/>
        <w:pageBreakBefore/>
      </w:pPr>
      <w:r>
        <w:t>2 Parámetros y restricciones económicas</w:t>
      </w:r>
    </w:p>
    <w:p>
      <w:r>
        <w:rPr>
          <w:b/>
        </w:rPr>
        <w:t xml:space="preserve">Uso. </w:t>
      </w:r>
      <w:r>
        <w:t>Los parámetros establecen un escenario común y deben explicarse antes de la primera decisión.</w:t>
      </w:r>
    </w:p>
    <w:p>
      <w:r>
        <w:t>Cada empresa vende todo lo producido a USD 50 por tonelada. Los costos productivos son comunes; las emisiones cambian según la intensidad de cada empresa. Las cifras son didácticas y no son precios observados ni tarifas legales vigentes.</w:t>
      </w:r>
    </w:p>
    <w:tbl>
      <w:tblPr>
        <w:tblW w:type="auto" w:w="0"/>
        <w:jc w:val="center"/>
        <w:tblLayout w:type="fixed"/>
        <w:tblLook w:firstColumn="1" w:firstRow="1" w:lastColumn="0" w:lastRow="0" w:noHBand="0" w:noVBand="1" w:val="04A0"/>
      </w:tblPr>
      <w:tblGrid>
        <w:gridCol w:w="1584"/>
        <w:gridCol w:w="1296"/>
        <w:gridCol w:w="1656"/>
        <w:gridCol w:w="1656"/>
        <w:gridCol w:w="3888"/>
      </w:tblGrid>
      <w:tr>
        <w:trPr>
          <w:tblHeader/>
          <w:cantSplit/>
        </w:trPr>
        <w:tc>
          <w:tcPr>
            <w:tcW w:type="dxa" w:w="1584"/>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color w:val="FFFFFF"/>
                <w:sz w:val="21"/>
              </w:rPr>
              <w:t>Nivel</w:t>
            </w:r>
          </w:p>
        </w:tc>
        <w:tc>
          <w:tcPr>
            <w:tcW w:type="dxa" w:w="1296"/>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Producción t</w:t>
            </w:r>
          </w:p>
        </w:tc>
        <w:tc>
          <w:tcPr>
            <w:tcW w:type="dxa" w:w="1656"/>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Ingresos USD</w:t>
            </w:r>
          </w:p>
        </w:tc>
        <w:tc>
          <w:tcPr>
            <w:tcW w:type="dxa" w:w="1656"/>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Costos USD</w:t>
            </w:r>
          </w:p>
        </w:tc>
        <w:tc>
          <w:tcPr>
            <w:tcW w:type="dxa" w:w="3888"/>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color w:val="FFFFFF"/>
                <w:sz w:val="21"/>
              </w:rPr>
              <w:t>Excedente antes del carbono USD</w:t>
            </w:r>
          </w:p>
        </w:tc>
      </w:tr>
      <w:tr>
        <w:trPr>
          <w:cantSplit/>
        </w:trPr>
        <w:tc>
          <w:tcPr>
            <w:tcW w:type="dxa" w:w="158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Bajo</w:t>
            </w:r>
          </w:p>
        </w:tc>
        <w:tc>
          <w:tcPr>
            <w:tcW w:type="dxa" w:w="129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100</w:t>
            </w:r>
          </w:p>
        </w:tc>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5.000</w:t>
            </w:r>
          </w:p>
        </w:tc>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3.400</w:t>
            </w:r>
          </w:p>
        </w:tc>
        <w:tc>
          <w:tcPr>
            <w:tcW w:type="dxa" w:w="388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1.600</w:t>
            </w:r>
          </w:p>
        </w:tc>
      </w:tr>
      <w:tr>
        <w:trPr>
          <w:cantSplit/>
        </w:trPr>
        <w:tc>
          <w:tcPr>
            <w:tcW w:type="dxa" w:w="1584"/>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Medio</w:t>
            </w:r>
          </w:p>
        </w:tc>
        <w:tc>
          <w:tcPr>
            <w:tcW w:type="dxa" w:w="129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150</w:t>
            </w:r>
          </w:p>
        </w:tc>
        <w:tc>
          <w:tcPr>
            <w:tcW w:type="dxa" w:w="165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7.500</w:t>
            </w:r>
          </w:p>
        </w:tc>
        <w:tc>
          <w:tcPr>
            <w:tcW w:type="dxa" w:w="165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5.000</w:t>
            </w:r>
          </w:p>
        </w:tc>
        <w:tc>
          <w:tcPr>
            <w:tcW w:type="dxa" w:w="3888"/>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2.500</w:t>
            </w:r>
          </w:p>
        </w:tc>
      </w:tr>
      <w:tr>
        <w:trPr>
          <w:cantSplit/>
        </w:trPr>
        <w:tc>
          <w:tcPr>
            <w:tcW w:type="dxa" w:w="158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Medio alto</w:t>
            </w:r>
          </w:p>
        </w:tc>
        <w:tc>
          <w:tcPr>
            <w:tcW w:type="dxa" w:w="129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200</w:t>
            </w:r>
          </w:p>
        </w:tc>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10.000</w:t>
            </w:r>
          </w:p>
        </w:tc>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6.600</w:t>
            </w:r>
          </w:p>
        </w:tc>
        <w:tc>
          <w:tcPr>
            <w:tcW w:type="dxa" w:w="388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3.400</w:t>
            </w:r>
          </w:p>
        </w:tc>
      </w:tr>
      <w:tr>
        <w:trPr>
          <w:cantSplit/>
        </w:trPr>
        <w:tc>
          <w:tcPr>
            <w:tcW w:type="dxa" w:w="1584"/>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Alto</w:t>
            </w:r>
          </w:p>
        </w:tc>
        <w:tc>
          <w:tcPr>
            <w:tcW w:type="dxa" w:w="129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250</w:t>
            </w:r>
          </w:p>
        </w:tc>
        <w:tc>
          <w:tcPr>
            <w:tcW w:type="dxa" w:w="165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12.500</w:t>
            </w:r>
          </w:p>
        </w:tc>
        <w:tc>
          <w:tcPr>
            <w:tcW w:type="dxa" w:w="165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8.400</w:t>
            </w:r>
          </w:p>
        </w:tc>
        <w:tc>
          <w:tcPr>
            <w:tcW w:type="dxa" w:w="3888"/>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4.100</w:t>
            </w:r>
          </w:p>
        </w:tc>
      </w:tr>
      <w:tr>
        <w:trPr>
          <w:cantSplit/>
        </w:trPr>
        <w:tc>
          <w:tcPr>
            <w:tcW w:type="dxa" w:w="158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Muy alto</w:t>
            </w:r>
          </w:p>
        </w:tc>
        <w:tc>
          <w:tcPr>
            <w:tcW w:type="dxa" w:w="129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300</w:t>
            </w:r>
          </w:p>
        </w:tc>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15.000</w:t>
            </w:r>
          </w:p>
        </w:tc>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10.400</w:t>
            </w:r>
          </w:p>
        </w:tc>
        <w:tc>
          <w:tcPr>
            <w:tcW w:type="dxa" w:w="388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4.600</w:t>
            </w:r>
          </w:p>
        </w:tc>
      </w:tr>
    </w:tbl>
    <w:p>
      <w:pPr>
        <w:spacing w:after="0" w:line="60" w:lineRule="exact"/>
      </w:pPr>
    </w:p>
    <w:p>
      <w:pPr>
        <w:pStyle w:val="Heading2"/>
      </w:pPr>
      <w:r>
        <w:t>Tarifa y compensación</w:t>
      </w:r>
    </w:p>
    <w:p>
      <w:r>
        <w:t>El Estado selecciona una tarifa entera entre USD 20 y USD 40 por tCO₂e y la publica al iniciar cada año. Las bandas son baja de 20 a 25, media de 26 a 32 y alta de 33 a 40. Se aplica una sola tarifa a toda la base; no es un impuesto progresivo. La tarifa no cambia durante la ronda.</w:t>
      </w:r>
    </w:p>
    <w:p>
      <w:r>
        <w:t>Cada empresa puede retirar créditos por hasta el 50 % de sus emisiones propias de ese año. Un crédito retirado descuenta una tCO₂e de la base del impuesto. Las emisiones que salen de la fábrica no cambian por esa compra.</w:t>
      </w:r>
    </w:p>
    <w:p>
      <w:pPr>
        <w:pStyle w:val="Heading2"/>
      </w:pPr>
      <w:r>
        <w:t>Proyectos y capacidad</w:t>
      </w:r>
    </w:p>
    <w:tbl>
      <w:tblPr>
        <w:tblW w:type="auto" w:w="0"/>
        <w:jc w:val="center"/>
        <w:tblLayout w:type="fixed"/>
        <w:tblLook w:firstColumn="1" w:firstRow="1" w:lastColumn="0" w:lastRow="0" w:noHBand="0" w:noVBand="1" w:val="04A0"/>
      </w:tblPr>
      <w:tblGrid>
        <w:gridCol w:w="792"/>
        <w:gridCol w:w="4104"/>
        <w:gridCol w:w="2160"/>
        <w:gridCol w:w="3024"/>
      </w:tblGrid>
      <w:tr>
        <w:trPr>
          <w:tblHeader/>
          <w:cantSplit/>
        </w:trPr>
        <w:tc>
          <w:tcPr>
            <w:tcW w:type="dxa" w:w="792"/>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color w:val="FFFFFF"/>
                <w:sz w:val="21"/>
              </w:rPr>
              <w:t>Tipo</w:t>
            </w:r>
          </w:p>
        </w:tc>
        <w:tc>
          <w:tcPr>
            <w:tcW w:type="dxa" w:w="4104"/>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Proyecto</w:t>
            </w:r>
          </w:p>
        </w:tc>
        <w:tc>
          <w:tcPr>
            <w:tcW w:type="dxa" w:w="2160"/>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Costo único USD</w:t>
            </w:r>
          </w:p>
        </w:tc>
        <w:tc>
          <w:tcPr>
            <w:tcW w:type="dxa" w:w="3024"/>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Reducción anual tCO₂e</w:t>
            </w:r>
          </w:p>
        </w:tc>
      </w:tr>
      <w:tr>
        <w:trPr>
          <w:cantSplit/>
        </w:trPr>
        <w:tc>
          <w:tcPr>
            <w:tcW w:type="dxa" w:w="79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P1</w:t>
            </w:r>
          </w:p>
        </w:tc>
        <w:tc>
          <w:tcPr>
            <w:tcW w:type="dxa" w:w="410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Eficiencia comunitaria</w:t>
            </w:r>
          </w:p>
        </w:tc>
        <w:tc>
          <w:tcPr>
            <w:tcW w:type="dxa" w:w="216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600</w:t>
            </w:r>
          </w:p>
        </w:tc>
        <w:tc>
          <w:tcPr>
            <w:tcW w:type="dxa" w:w="30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20</w:t>
            </w:r>
          </w:p>
        </w:tc>
      </w:tr>
      <w:tr>
        <w:trPr>
          <w:cantSplit/>
        </w:trPr>
        <w:tc>
          <w:tcPr>
            <w:tcW w:type="dxa" w:w="792"/>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P2</w:t>
            </w:r>
          </w:p>
        </w:tc>
        <w:tc>
          <w:tcPr>
            <w:tcW w:type="dxa" w:w="4104"/>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Captura de metano</w:t>
            </w:r>
          </w:p>
        </w:tc>
        <w:tc>
          <w:tcPr>
            <w:tcW w:type="dxa" w:w="2160"/>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1.000</w:t>
            </w:r>
          </w:p>
        </w:tc>
        <w:tc>
          <w:tcPr>
            <w:tcW w:type="dxa" w:w="3024"/>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40</w:t>
            </w:r>
          </w:p>
        </w:tc>
      </w:tr>
    </w:tbl>
    <w:p>
      <w:pPr>
        <w:spacing w:after="0" w:line="60" w:lineRule="exact"/>
      </w:pPr>
    </w:p>
    <w:p>
      <w:r>
        <w:t>Los proyectos se pagan una vez, pueden repetirse y operan desde el año de ejecución. El costo incluye operación hasta el año 4. Cada año verificado genera un lote nuevo. Los ámbitos de intervención no se superponen y la capacidad total de cada fundación no supera 100 tCO₂e por año.</w:t>
      </w:r>
    </w:p>
    <w:p>
      <w:r>
        <w:t>Al cerrar el año se reserva el 30 % del impuesto para proyectos del año siguiente; el 70 % pasa al presupuesto general sin otro uso dentro del juego. El saldo reservado no gastado permanece. No se puede financiar un proyecto con el recaudo que todavía no ha ocurrido.</w:t>
      </w:r>
    </w:p>
    <w:p>
      <w:r>
        <w:t>La versión 2 adopta un porcentaje común de subvención, entre 0 % y 50 % del costo de cada proyecto nuevo. Se aplica a ambas fundaciones y puede renegociarse durante la etapa de proyectos, con nueva confirmación de los acuerdos. La suma no puede superar el fondo disponible. No hay préstamos ni anticipos.</w:t>
      </w:r>
    </w:p>
    <w:p>
      <w:pPr>
        <w:pStyle w:val="Heading1"/>
        <w:pageBreakBefore/>
      </w:pPr>
      <w:r>
        <w:t>3 Preparación y secuencia de la partida</w:t>
      </w:r>
    </w:p>
    <w:p>
      <w:r>
        <w:rPr>
          <w:b/>
        </w:rPr>
        <w:t xml:space="preserve">Uso. </w:t>
      </w:r>
      <w:r>
        <w:t>La secuencia permite separar decisiones privadas, convenios públicos, verificación y cierre contable.</w:t>
      </w:r>
    </w:p>
    <w:p>
      <w:pPr>
        <w:pStyle w:val="Heading2"/>
      </w:pPr>
      <w:r>
        <w:t>Preparación de la sesión</w:t>
      </w:r>
    </w:p>
    <w:p>
      <w:r>
        <w:t>El profesor dispone un computador con navegador actualizado por mesa, acceso a la aplicación, reloj y este instructivo. Antes de clase prueba la partida de ejemplo, confirma la apertura de la aplicación y conserva una copia de sus archivos. Los nombres de los roles y del equipo pueden personalizarse sin cambiar parámetros.</w:t>
      </w:r>
    </w:p>
    <w:p>
      <w:r>
        <w:t>Se recomienda realizar un ensayo sin puntos: agregar un proyecto, comprobar su financiación, verificar el lote y pactar una compra. Antes de iniciar la partida evaluada, se crea una mesa nueva. Cada participante debe poder explicar qué vende, qué compra y qué indicador persigue.</w:t>
      </w:r>
    </w:p>
    <w:p>
      <w:r>
        <w:t>En la pantalla inicial se selecciona Crear mesa y se confirma con Comenzar partida. La opción Partida de ejemplo permite revisar un caso completo. En Mesa de juego se abre cada cabina; Control de la mesa docente reúne ejecución, verificación y cierre.</w:t>
      </w:r>
    </w:p>
    <w:tbl>
      <w:tblPr>
        <w:tblW w:type="auto" w:w="0"/>
        <w:jc w:val="center"/>
        <w:tblLayout w:type="fixed"/>
        <w:tblLook w:firstColumn="1" w:firstRow="1" w:lastColumn="0" w:lastRow="0" w:noHBand="0" w:noVBand="1" w:val="04A0"/>
      </w:tblPr>
      <w:tblGrid>
        <w:gridCol w:w="1771"/>
        <w:gridCol w:w="5501"/>
        <w:gridCol w:w="2808"/>
      </w:tblGrid>
      <w:tr>
        <w:trPr>
          <w:tblHeader/>
          <w:cantSplit/>
        </w:trPr>
        <w:tc>
          <w:tcPr>
            <w:tcW w:type="dxa" w:w="1771"/>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color w:val="FFFFFF"/>
                <w:sz w:val="21"/>
              </w:rPr>
              <w:t>Etapa anual</w:t>
            </w:r>
          </w:p>
        </w:tc>
        <w:tc>
          <w:tcPr>
            <w:tcW w:type="dxa" w:w="5501"/>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Acción de los participantes</w:t>
            </w:r>
          </w:p>
        </w:tc>
        <w:tc>
          <w:tcPr>
            <w:tcW w:type="dxa" w:w="2808"/>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Intervención docente</w:t>
            </w:r>
          </w:p>
        </w:tc>
      </w:tr>
      <w:tr>
        <w:trPr>
          <w:cantSplit/>
        </w:trPr>
        <w:tc>
          <w:tcPr>
            <w:tcW w:type="dxa" w:w="177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Publicar la política</w:t>
            </w:r>
          </w:p>
        </w:tc>
        <w:tc>
          <w:tcPr>
            <w:tcW w:type="dxa" w:w="550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El Estado anuncia tarifa y porcentaje común de apoyo.</w:t>
            </w:r>
          </w:p>
        </w:tc>
        <w:tc>
          <w:tcPr>
            <w:tcW w:type="dxa" w:w="28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Comprueba que los participantes conocen las reglas.</w:t>
            </w:r>
          </w:p>
        </w:tc>
      </w:tr>
      <w:tr>
        <w:trPr>
          <w:cantSplit/>
        </w:trPr>
        <w:tc>
          <w:tcPr>
            <w:tcW w:type="dxa" w:w="1771"/>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Proponer proyectos</w:t>
            </w:r>
          </w:p>
        </w:tc>
        <w:tc>
          <w:tcPr>
            <w:tcW w:type="dxa" w:w="5501"/>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Las fundaciones seleccionan proyectos y aceptan sus planes; el Estado confirma convenios. Las empresas anticipan producción.</w:t>
            </w:r>
          </w:p>
        </w:tc>
        <w:tc>
          <w:tcPr>
            <w:tcW w:type="dxa" w:w="2808"/>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Comprueba financiación previa y confirmaciones.</w:t>
            </w:r>
          </w:p>
        </w:tc>
      </w:tr>
      <w:tr>
        <w:trPr>
          <w:cantSplit/>
        </w:trPr>
        <w:tc>
          <w:tcPr>
            <w:tcW w:type="dxa" w:w="177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Ejecutar y verificar</w:t>
            </w:r>
          </w:p>
        </w:tc>
        <w:tc>
          <w:tcPr>
            <w:tcW w:type="dxa" w:w="550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Se pagan los proyectos con caja y subvenciones.</w:t>
            </w:r>
          </w:p>
        </w:tc>
        <w:tc>
          <w:tcPr>
            <w:tcW w:type="dxa" w:w="28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Verifica o rechaza expresamente el lote anual de cada fundación.</w:t>
            </w:r>
          </w:p>
        </w:tc>
      </w:tr>
      <w:tr>
        <w:trPr>
          <w:cantSplit/>
        </w:trPr>
        <w:tc>
          <w:tcPr>
            <w:tcW w:type="dxa" w:w="1771"/>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Negociar en el mercado</w:t>
            </w:r>
          </w:p>
        </w:tc>
        <w:tc>
          <w:tcPr>
            <w:tcW w:type="dxa" w:w="5501"/>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Empresas y fundaciones proponen cantidad y precio. La contraparte acepta o rechaza.</w:t>
            </w:r>
          </w:p>
        </w:tc>
        <w:tc>
          <w:tcPr>
            <w:tcW w:type="dxa" w:w="2808"/>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Facilita sin imponer compradores ni precios.</w:t>
            </w:r>
          </w:p>
        </w:tc>
      </w:tr>
      <w:tr>
        <w:trPr>
          <w:cantSplit/>
        </w:trPr>
        <w:tc>
          <w:tcPr>
            <w:tcW w:type="dxa" w:w="177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Confirmar y cerrar</w:t>
            </w:r>
          </w:p>
        </w:tc>
        <w:tc>
          <w:tcPr>
            <w:tcW w:type="dxa" w:w="550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Las empresas confirman producción y contratos; se revisan cuentas.</w:t>
            </w:r>
          </w:p>
        </w:tc>
        <w:tc>
          <w:tcPr>
            <w:tcW w:type="dxa" w:w="28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Cierra el año después de resolver ofertas pendientes y errores.</w:t>
            </w:r>
          </w:p>
        </w:tc>
      </w:tr>
    </w:tbl>
    <w:p>
      <w:pPr>
        <w:spacing w:after="0" w:line="60" w:lineRule="exact"/>
      </w:pPr>
    </w:p>
    <w:p>
      <w:r>
        <w:t>La negociación permanece abierta mientras se ajustan acuerdos. Cambiar de cabina no equivale a cerrar el año. Cada rol registra sus controles; una propuesta solo se paga cuando la acepta la contraparte. Los cambios que afectan acuerdos requieren confirmarlos nuevamente.</w:t>
      </w:r>
    </w:p>
    <w:p>
      <w:r>
        <w:t>La verificación es una simplificación docente: se contrasta el proyecto ejecutado, su financiación, su capacidad según el catálogo y la ausencia de superposición. No constituye una auditoría de emisiones real. Un lote rechazado no genera créditos ni reducción reconocida ese año, pero el proyecto instalado puede verificarse en un año posterior.</w:t>
      </w:r>
    </w:p>
    <w:p>
      <w:r>
        <w:t>Si el límite climático se supera antes del año 4, se registra la derrota colectiva y se completan las rondas para analizar consecuencias. El profesor no elimina emisiones ni altera puntajes para recuperar artificialmente la victoria.</w:t>
      </w:r>
    </w:p>
    <w:p>
      <w:pPr>
        <w:pStyle w:val="Heading1"/>
        <w:pageBreakBefore/>
      </w:pPr>
      <w:r>
        <w:t>4 Convenios compraventa y cuentas</w:t>
      </w:r>
    </w:p>
    <w:p>
      <w:r>
        <w:rPr>
          <w:b/>
        </w:rPr>
        <w:t xml:space="preserve">Uso. </w:t>
      </w:r>
      <w:r>
        <w:t>El registro distingue el financiamiento del proyecto del pago por los créditos verificados que produce.</w:t>
      </w:r>
    </w:p>
    <w:p>
      <w:pPr>
        <w:pStyle w:val="Heading2"/>
      </w:pPr>
      <w:r>
        <w:t>Convenio público y contrato privado</w:t>
      </w:r>
    </w:p>
    <w:p>
      <w:r>
        <w:t>La fundación conserva la propiedad del proyecto. El aporte estatal no compra créditos ni concede propiedad al Estado. Cada convenio identifica año, fundación, proyecto, costo, aporte y porcentaje común. El fondo inicial del año debe cubrir todos los convenios.</w:t>
      </w:r>
    </w:p>
    <w:p>
      <w:r>
        <w:t>El contrato privado identifica comprador, vendedor, año, lote, cantidad, precio unitario y valor total. Empresas y fundaciones negocian directamente. La contraparte debe aceptar antes del pago al contado. Un contrato aceptado puede cancelarse antes del cierre con devolución del pago; las decisiones empresariales deberán confirmarse de nuevo.</w:t>
      </w:r>
    </w:p>
    <w:p>
      <w:r>
        <w:t>Las ofertas pendientes reservan capacidad del lote y del límite del comprador. Deben aceptarse o cancelarse antes del cierre. No se admiten anticipos, reventa, doble venta o uso repetido. Los créditos sin venta vencen al terminar el año; su reducción física verificada sí cuenta para el equipo.</w:t>
      </w:r>
    </w:p>
    <w:p>
      <w:pPr>
        <w:pStyle w:val="Heading2"/>
      </w:pPr>
      <w:r>
        <w:t>Ejemplo de financiación y venta</w:t>
      </w:r>
    </w:p>
    <w:p>
      <w:r>
        <w:t>F2 inicia el año 2 con USD 700 y un P1 activo. Ejecuta un P2 de USD 1.000, con USD 500 públicos y USD 500 propios. Su caja queda en USD 200 antes de vender. El profesor verifica 60 créditos del año: 20 del P1 y 40 del P2.</w:t>
      </w:r>
    </w:p>
    <w:p>
      <w:r>
        <w:t>F2 vende 20 créditos a B y 40 a C, todos a USD 18. Cobra USD 1.080 y termina con USD 1.280. B paga USD 360 y C paga USD 720. Las compras exigen caja para pagar al contado y margen dentro de la compensación máxima de cada empresa.</w:t>
      </w:r>
    </w:p>
    <w:p>
      <w:pPr>
        <w:pStyle w:val="Heading2"/>
      </w:pPr>
      <w:r>
        <w:t>Cuenta empresarial y cuenta física</w:t>
      </w:r>
    </w:p>
    <w:p>
      <w:r>
        <w:t>Q representa producción; a, intensidad de emisión; E, emisiones propias; C, créditos retirados; τ, tarifa; T, impuesto; I, ingresos; K, costo productivo; GC, gasto en créditos; y π, utilidad. Los valores monetarios se expresan en USD.</w:t>
      </w:r>
    </w:p>
    <w:p>
      <w:pPr>
        <w:jc w:val="center"/>
      </w:pPr>
      <m:oMath>
        <m:r>
          <m:t>E = a × Q     C ≤ 0,50 × E     T = τ × (E − C)</m:t>
        </m:r>
      </m:oMath>
    </w:p>
    <w:p>
      <w:pPr>
        <w:jc w:val="center"/>
      </w:pPr>
      <m:oMath>
        <m:r>
          <m:t>π = I − K − GC − T</m:t>
        </m:r>
      </m:oMath>
    </w:p>
    <w:p>
      <w:r>
        <w:t>La caja final es la caja inicial más la utilidad. La compra aceptada se paga inmediatamente; al liquidar no se descuenta dos veces. El ahorro monetario por crédito elegible es la tarifa menos su precio. Un precio mayor que la tarifa aumenta el costo aunque pueda contribuir a los puntos.</w:t>
      </w:r>
    </w:p>
    <w:p>
      <w:r>
        <w:t>G suma las emisiones empresariales y R las reducciones externas verificadas. Las actividades externas emiten 200 tCO₂e anuales sin proyectos. ER es la emisión física del año.</w:t>
      </w:r>
    </w:p>
    <w:p>
      <w:pPr>
        <w:jc w:val="center"/>
      </w:pPr>
      <m:oMath>
        <m:r>
          <m:t>ER = G + 200 − R</m:t>
        </m:r>
      </m:oMath>
    </w:p>
    <w:p>
      <w:r>
        <w:t>Los créditos retirados no se descuentan otra vez de ER. Con G = 300 y R = 200, el equipo emite 300 tCO₂e, aunque venda solamente 150 créditos. Con tarifa de USD 30 y esos 150 retiros, el impuesto total es USD 4.500.</w:t>
      </w:r>
    </w:p>
    <w:p>
      <w:pPr>
        <w:pStyle w:val="Heading1"/>
        <w:pageBreakBefore/>
      </w:pPr>
      <w:r>
        <w:t>5 Victoria y puntuación por rol</w:t>
      </w:r>
    </w:p>
    <w:p>
      <w:r>
        <w:rPr>
          <w:b/>
        </w:rPr>
        <w:t xml:space="preserve">Uso. </w:t>
      </w:r>
      <w:r>
        <w:t>Los puntos evalúan objetivos propios y permiten que varios participantes ganen simultáneamente.</w:t>
      </w:r>
    </w:p>
    <w:p>
      <w:r>
        <w:t>Se comprueba primero el límite colectivo: emisiones físicas acumuladas de hasta 1.400 tCO₂e. Si se supera, todos pierden. Si se cumple, las empresas y fundaciones ganan con al menos 70 puntos. El Estado también necesita alcanzar 1.800 t de producción acumulada, además de sus 70 puntos.</w:t>
      </w:r>
    </w:p>
    <w:p>
      <w:pPr>
        <w:pStyle w:val="Heading2"/>
      </w:pPr>
      <w:r>
        <w:t>Empresas hasta 100 puntos</w:t>
      </w:r>
    </w:p>
    <w:tbl>
      <w:tblPr>
        <w:tblW w:type="auto" w:w="0"/>
        <w:jc w:val="center"/>
        <w:tblLayout w:type="fixed"/>
        <w:tblLook w:firstColumn="1" w:firstRow="1" w:lastColumn="0" w:lastRow="0" w:noHBand="0" w:noVBand="1" w:val="04A0"/>
      </w:tblPr>
      <w:tblGrid>
        <w:gridCol w:w="1944"/>
        <w:gridCol w:w="8136"/>
      </w:tblGrid>
      <w:tr>
        <w:trPr>
          <w:tblHeader/>
          <w:cantSplit/>
        </w:trPr>
        <w:tc>
          <w:tcPr>
            <w:tcW w:type="dxa" w:w="1944"/>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color w:val="FFFFFF"/>
                <w:sz w:val="21"/>
              </w:rPr>
              <w:t>Componente</w:t>
            </w:r>
          </w:p>
        </w:tc>
        <w:tc>
          <w:tcPr>
            <w:tcW w:type="dxa" w:w="8136"/>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Rangos y puntos al cierre</w:t>
            </w:r>
          </w:p>
        </w:tc>
      </w:tr>
      <w:tr>
        <w:trPr>
          <w:cantSplit/>
        </w:trPr>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Margen acumulado</w:t>
            </w:r>
          </w:p>
        </w:tc>
        <w:tc>
          <w:tcPr>
            <w:tcW w:type="dxa" w:w="813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Utilidad total / ingresos totales: ≥ 10 % da 40; de 5 % a menos de 10 % da 25; positivo menor de 5 % da 10; cero o negativo da 0.</w:t>
            </w:r>
          </w:p>
        </w:tc>
      </w:tr>
      <w:tr>
        <w:trPr>
          <w:cantSplit/>
        </w:trPr>
        <w:tc>
          <w:tcPr>
            <w:tcW w:type="dxa" w:w="1944"/>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Cobertura acumulada</w:t>
            </w:r>
          </w:p>
        </w:tc>
        <w:tc>
          <w:tcPr>
            <w:tcW w:type="dxa" w:w="813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Créditos retirados / emisiones propias: ≥ 40 % da 40; de 25 % a menos de 40 % da 30; positiva menor de 25 % da 5; nula da 0.</w:t>
            </w:r>
          </w:p>
        </w:tc>
      </w:tr>
      <w:tr>
        <w:trPr>
          <w:cantSplit/>
        </w:trPr>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Solvencia</w:t>
            </w:r>
          </w:p>
        </w:tc>
        <w:tc>
          <w:tcPr>
            <w:tcW w:type="dxa" w:w="813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Caja no negativa y obligaciones liquidadas durante la partida: 20. Otro caso: 0.</w:t>
            </w:r>
          </w:p>
        </w:tc>
      </w:tr>
    </w:tbl>
    <w:p>
      <w:pPr>
        <w:spacing w:after="0" w:line="60" w:lineRule="exact"/>
      </w:pPr>
    </w:p>
    <w:p>
      <w:r>
        <w:t>La cobertura positiva menor del 25 % otorga 5 puntos en esta versión, frente a 15 en la anterior. Incluso con margen y solvencia máximos, esa participación suma 65 y no permite ganar con una compra meramente simbólica.</w:t>
      </w:r>
    </w:p>
    <w:p>
      <w:pPr>
        <w:pStyle w:val="Heading2"/>
      </w:pPr>
      <w:r>
        <w:t>Fundaciones hasta 100 puntos</w:t>
      </w:r>
    </w:p>
    <w:tbl>
      <w:tblPr>
        <w:tblW w:type="auto" w:w="0"/>
        <w:jc w:val="center"/>
        <w:tblLayout w:type="fixed"/>
        <w:tblLook w:firstColumn="1" w:firstRow="1" w:lastColumn="0" w:lastRow="0" w:noHBand="0" w:noVBand="1" w:val="04A0"/>
      </w:tblPr>
      <w:tblGrid>
        <w:gridCol w:w="1944"/>
        <w:gridCol w:w="8136"/>
      </w:tblGrid>
      <w:tr>
        <w:trPr>
          <w:tblHeader/>
          <w:cantSplit/>
        </w:trPr>
        <w:tc>
          <w:tcPr>
            <w:tcW w:type="dxa" w:w="1944"/>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color w:val="FFFFFF"/>
                <w:sz w:val="21"/>
              </w:rPr>
              <w:t>Componente</w:t>
            </w:r>
          </w:p>
        </w:tc>
        <w:tc>
          <w:tcPr>
            <w:tcW w:type="dxa" w:w="8136"/>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Rangos y puntos al cierre</w:t>
            </w:r>
          </w:p>
        </w:tc>
      </w:tr>
      <w:tr>
        <w:trPr>
          <w:cantSplit/>
        </w:trPr>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Reducciones</w:t>
            </w:r>
          </w:p>
        </w:tc>
        <w:tc>
          <w:tcPr>
            <w:tcW w:type="dxa" w:w="813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Acumuladas: ≥ 200 tCO₂e da 40; de 100 a menos de 200 da 25; positivas menores de 100 dan 10; nulas dan 0.</w:t>
            </w:r>
          </w:p>
        </w:tc>
      </w:tr>
      <w:tr>
        <w:trPr>
          <w:cantSplit/>
        </w:trPr>
        <w:tc>
          <w:tcPr>
            <w:tcW w:type="dxa" w:w="1944"/>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Ventas</w:t>
            </w:r>
          </w:p>
        </w:tc>
        <w:tc>
          <w:tcPr>
            <w:tcW w:type="dxa" w:w="813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Vendidos / emitidos: ≥ 70 % da 30; de 40 % a menos de 70 % da 20; positivas menores de 40 % dan 10; nulas dan 0. Sin emisión se asigna 0.</w:t>
            </w:r>
          </w:p>
        </w:tc>
      </w:tr>
      <w:tr>
        <w:trPr>
          <w:cantSplit/>
        </w:trPr>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Caja y contratos</w:t>
            </w:r>
          </w:p>
        </w:tc>
        <w:tc>
          <w:tcPr>
            <w:tcW w:type="dxa" w:w="813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Contratos liquidados y caja ≥ USD 1.000: 30; contratos liquidados y caja no negativa menor de USD 1.000: 15; otro caso: 0.</w:t>
            </w:r>
          </w:p>
        </w:tc>
      </w:tr>
    </w:tbl>
    <w:p>
      <w:pPr>
        <w:spacing w:after="0" w:line="60" w:lineRule="exact"/>
      </w:pPr>
    </w:p>
    <w:p>
      <w:pPr>
        <w:pStyle w:val="Heading2"/>
      </w:pPr>
      <w:r>
        <w:t>Estado hasta 100 puntos</w:t>
      </w:r>
    </w:p>
    <w:tbl>
      <w:tblPr>
        <w:tblW w:type="auto" w:w="0"/>
        <w:jc w:val="center"/>
        <w:tblLayout w:type="fixed"/>
        <w:tblLook w:firstColumn="1" w:firstRow="1" w:lastColumn="0" w:lastRow="0" w:noHBand="0" w:noVBand="1" w:val="04A0"/>
      </w:tblPr>
      <w:tblGrid>
        <w:gridCol w:w="1728"/>
        <w:gridCol w:w="7056"/>
        <w:gridCol w:w="1296"/>
      </w:tblGrid>
      <w:tr>
        <w:trPr>
          <w:tblHeader/>
          <w:cantSplit/>
        </w:trPr>
        <w:tc>
          <w:tcPr>
            <w:tcW w:type="dxa" w:w="1728"/>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color w:val="FFFFFF"/>
                <w:sz w:val="21"/>
              </w:rPr>
              <w:t>Componente</w:t>
            </w:r>
          </w:p>
        </w:tc>
        <w:tc>
          <w:tcPr>
            <w:tcW w:type="dxa" w:w="7056"/>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Condición</w:t>
            </w:r>
          </w:p>
        </w:tc>
        <w:tc>
          <w:tcPr>
            <w:tcW w:type="dxa" w:w="1296"/>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Puntos</w:t>
            </w:r>
          </w:p>
        </w:tc>
      </w:tr>
      <w:tr>
        <w:trPr>
          <w:cantSplit/>
        </w:trPr>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Ambiente</w:t>
            </w:r>
          </w:p>
        </w:tc>
        <w:tc>
          <w:tcPr>
            <w:tcW w:type="dxa" w:w="70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Cumplir el límite colectivo</w:t>
            </w:r>
          </w:p>
        </w:tc>
        <w:tc>
          <w:tcPr>
            <w:tcW w:type="dxa" w:w="129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30</w:t>
            </w:r>
          </w:p>
        </w:tc>
      </w:tr>
      <w:tr>
        <w:trPr>
          <w:cantSplit/>
        </w:trPr>
        <w:tc>
          <w:tcPr>
            <w:tcW w:type="dxa" w:w="1728"/>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Producción</w:t>
            </w:r>
          </w:p>
        </w:tc>
        <w:tc>
          <w:tcPr>
            <w:tcW w:type="dxa" w:w="705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Acumular al menos 1.800 t de producto</w:t>
            </w:r>
          </w:p>
        </w:tc>
        <w:tc>
          <w:tcPr>
            <w:tcW w:type="dxa" w:w="129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20</w:t>
            </w:r>
          </w:p>
        </w:tc>
      </w:tr>
      <w:tr>
        <w:trPr>
          <w:cantSplit/>
        </w:trPr>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Financiación</w:t>
            </w:r>
          </w:p>
        </w:tc>
        <w:tc>
          <w:tcPr>
            <w:tcW w:type="dxa" w:w="70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Reserva del 30 % y subvenciones máximas del 50 % respetadas</w:t>
            </w:r>
          </w:p>
        </w:tc>
        <w:tc>
          <w:tcPr>
            <w:tcW w:type="dxa" w:w="129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20</w:t>
            </w:r>
          </w:p>
        </w:tc>
      </w:tr>
      <w:tr>
        <w:trPr>
          <w:cantSplit/>
        </w:trPr>
        <w:tc>
          <w:tcPr>
            <w:tcW w:type="dxa" w:w="1728"/>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Publicación</w:t>
            </w:r>
          </w:p>
        </w:tc>
        <w:tc>
          <w:tcPr>
            <w:tcW w:type="dxa" w:w="705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Política y criterio común publicados en todos los años</w:t>
            </w:r>
          </w:p>
        </w:tc>
        <w:tc>
          <w:tcPr>
            <w:tcW w:type="dxa" w:w="129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10</w:t>
            </w:r>
          </w:p>
        </w:tc>
      </w:tr>
      <w:tr>
        <w:trPr>
          <w:cantSplit/>
        </w:trPr>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Valoración</w:t>
            </w:r>
          </w:p>
        </w:tc>
        <w:tc>
          <w:tcPr>
            <w:tcW w:type="dxa" w:w="70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10 más la mitad de la suma de las 20 valoraciones automáticas</w:t>
            </w:r>
          </w:p>
        </w:tc>
        <w:tc>
          <w:tcPr>
            <w:tcW w:type="dxa" w:w="129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0 a 20</w:t>
            </w:r>
          </w:p>
        </w:tc>
      </w:tr>
    </w:tbl>
    <w:p>
      <w:pPr>
        <w:spacing w:after="0" w:line="60" w:lineRule="exact"/>
      </w:pPr>
    </w:p>
    <w:p>
      <w:r>
        <w:t>Se conservan medios puntos. La condición productiva del Estado es obligatoria en la versión 2: no puede compensar su incumplimiento con otros puntos. Los cálculos de margen y cobertura utilizan totales acumulados, no promedios simples de porcentajes anuales.</w:t>
      </w:r>
    </w:p>
    <w:p>
      <w:pPr>
        <w:pStyle w:val="Heading1"/>
        <w:pageBreakBefore/>
      </w:pPr>
      <w:r>
        <w:t>6 Valoración automática y manejo de registros</w:t>
      </w:r>
    </w:p>
    <w:p>
      <w:r>
        <w:rPr>
          <w:b/>
        </w:rPr>
        <w:t xml:space="preserve">Uso. </w:t>
      </w:r>
      <w:r>
        <w:t>Los criterios definidos permiten reproducir las valoraciones con datos de cada ronda y revisar su fundamento.</w:t>
      </w:r>
    </w:p>
    <w:p>
      <w:r>
        <w:t>Al cerrar cada año el programa evalúa tres criterios para cada empresa y cada fundación. Tres cumplidos generan +1; dos generan 0; cero o uno generan −1. Se obtienen cinco valoraciones por año y veinte por partida. No hay edición manual del voto en la versión 2.</w:t>
      </w:r>
    </w:p>
    <w:tbl>
      <w:tblPr>
        <w:tblW w:type="auto" w:w="0"/>
        <w:jc w:val="center"/>
        <w:tblLayout w:type="fixed"/>
        <w:tblLook w:firstColumn="1" w:firstRow="1" w:lastColumn="0" w:lastRow="0" w:noHBand="0" w:noVBand="1" w:val="04A0"/>
      </w:tblPr>
      <w:tblGrid>
        <w:gridCol w:w="1627"/>
        <w:gridCol w:w="1944"/>
        <w:gridCol w:w="6509"/>
      </w:tblGrid>
      <w:tr>
        <w:trPr>
          <w:tblHeader/>
          <w:cantSplit/>
        </w:trPr>
        <w:tc>
          <w:tcPr>
            <w:tcW w:type="dxa" w:w="1627"/>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color w:val="FFFFFF"/>
                <w:sz w:val="21"/>
              </w:rPr>
              <w:t>Actores</w:t>
            </w:r>
          </w:p>
        </w:tc>
        <w:tc>
          <w:tcPr>
            <w:tcW w:type="dxa" w:w="1944"/>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Criterio</w:t>
            </w:r>
          </w:p>
        </w:tc>
        <w:tc>
          <w:tcPr>
            <w:tcW w:type="dxa" w:w="6509"/>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Condición verificable</w:t>
            </w:r>
          </w:p>
        </w:tc>
      </w:tr>
      <w:tr>
        <w:trPr>
          <w:cantSplit/>
        </w:trPr>
        <w:tc>
          <w:tcPr>
            <w:tcW w:type="dxa" w:w="162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Todos</w:t>
            </w:r>
          </w:p>
        </w:tc>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Transparencia</w:t>
            </w:r>
          </w:p>
        </w:tc>
        <w:tc>
          <w:tcPr>
            <w:tcW w:type="dxa" w:w="6509"/>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Tarifa y criterio común publicados antes de ejecutar.</w:t>
            </w:r>
          </w:p>
        </w:tc>
      </w:tr>
      <w:tr>
        <w:trPr>
          <w:cantSplit/>
        </w:trPr>
        <w:tc>
          <w:tcPr>
            <w:tcW w:type="dxa" w:w="1627"/>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Empresas</w:t>
            </w:r>
          </w:p>
        </w:tc>
        <w:tc>
          <w:tcPr>
            <w:tcW w:type="dxa" w:w="1944"/>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Trayectoria ambiental</w:t>
            </w:r>
          </w:p>
        </w:tc>
        <w:tc>
          <w:tcPr>
            <w:tcW w:type="dxa" w:w="6509"/>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Emisiones físicas acumuladas ≤ 350 multiplicado por el año en curso: 350, 700, 1.050 y 1.400 tCO₂e.</w:t>
            </w:r>
          </w:p>
        </w:tc>
      </w:tr>
      <w:tr>
        <w:trPr>
          <w:cantSplit/>
        </w:trPr>
        <w:tc>
          <w:tcPr>
            <w:tcW w:type="dxa" w:w="162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Cada empresa</w:t>
            </w:r>
          </w:p>
        </w:tc>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Viabilidad empresarial</w:t>
            </w:r>
          </w:p>
        </w:tc>
        <w:tc>
          <w:tcPr>
            <w:tcW w:type="dxa" w:w="6509"/>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Utilidad del año no negativa y caja final no negativa.</w:t>
            </w:r>
          </w:p>
        </w:tc>
      </w:tr>
      <w:tr>
        <w:trPr>
          <w:cantSplit/>
        </w:trPr>
        <w:tc>
          <w:tcPr>
            <w:tcW w:type="dxa" w:w="1627"/>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Fundaciones</w:t>
            </w:r>
          </w:p>
        </w:tc>
        <w:tc>
          <w:tcPr>
            <w:tcW w:type="dxa" w:w="1944"/>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Trato común</w:t>
            </w:r>
          </w:p>
        </w:tc>
        <w:tc>
          <w:tcPr>
            <w:tcW w:type="dxa" w:w="6509"/>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Todos los proyectos ejecutados reciben el porcentaje de apoyo público común publicado.</w:t>
            </w:r>
          </w:p>
        </w:tc>
      </w:tr>
      <w:tr>
        <w:trPr>
          <w:cantSplit/>
        </w:trPr>
        <w:tc>
          <w:tcPr>
            <w:tcW w:type="dxa" w:w="162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Cada fundación</w:t>
            </w:r>
          </w:p>
        </w:tc>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Impulso a proyectos</w:t>
            </w:r>
          </w:p>
        </w:tc>
        <w:tc>
          <w:tcPr>
            <w:tcW w:type="dxa" w:w="6509"/>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Reducción verificada anual ≥ 20 multiplicado por el año: 20, 40, 60 y 80 tCO₂e.</w:t>
            </w:r>
          </w:p>
        </w:tc>
      </w:tr>
    </w:tbl>
    <w:p>
      <w:pPr>
        <w:spacing w:after="0" w:line="60" w:lineRule="exact"/>
      </w:pPr>
    </w:p>
    <w:p>
      <w:r>
        <w:t>Estos umbrales son decisiones pedagógicas de la versión 2. La trayectoria lineal es una referencia para valorar avances, no un límite anual de emisiones ni una condición adicional de victoria. Una mesa puede superar esa referencia temprana y cumplir el límite acumulado al terminar.</w:t>
      </w:r>
    </w:p>
    <w:p>
      <w:r>
        <w:t>La valoración automática mide resultados definidos por el modelo. No demuestra por sí sola que el Estado sea responsable de cada resultado ni recoge percepciones personales de justicia. El profesor debe discutir esa diferencia. La publicación y el trato común están reforzados por las propias restricciones del programa.</w:t>
      </w:r>
    </w:p>
    <w:p>
      <w:pPr>
        <w:pStyle w:val="Heading2"/>
      </w:pPr>
      <w:r>
        <w:t>Guardar y recuperar una partida</w:t>
      </w:r>
    </w:p>
    <w:p>
      <w:r>
        <w:t>El menú distingue Mesa de juego, Resultados, Guía de juego y Vista docente. Resultados conserva las cuentas y valoraciones de cada año. Vista docente permite comparar partidas importadas; no obtiene automáticamente archivos de otras mesas.</w:t>
      </w:r>
    </w:p>
    <w:p>
      <w:r>
        <w:t>La aplicación conserva el avance en el almacenamiento del navegador del computador utilizado. Antes de terminar la sesión, el equipo exporta su partida en JSON. Para continuar en otro computador importa ese archivo. Se debe conservar el mismo archivo de versión 2; las plantillas antiguas no son intercambiables sin adaptación.</w:t>
      </w:r>
    </w:p>
    <w:p>
      <w:r>
        <w:t>La importación reconstruye la partida a partir de su bitácora y valida las acciones. Esto detecta registros incompatibles o decisiones prohibidas, pero no constituye una firma digital ni demuestra quién tomó una decisión. Los archivos exportados deben identificarse con el nombre de la mesa y custodiarse como evidencia de clase.</w:t>
      </w:r>
    </w:p>
    <w:p>
      <w:pPr>
        <w:pStyle w:val="Heading2"/>
      </w:pPr>
      <w:r>
        <w:t>Resolver bloqueos</w:t>
      </w:r>
    </w:p>
    <w:p>
      <w:r>
        <w:t>Ante un error, se conserva el estado anterior y se corrige el acuerdo indicado: reducir cantidades si se supera el lote o el 50 %, renegociar precio o producción ante caja insuficiente, disminuir proyectos o apoyo si falta fondo y resolver ofertas pendientes antes de cerrar. Cambiar de rol no debe utilizarse para eludir una restricción.</w:t>
      </w:r>
    </w:p>
    <w:p>
      <w:pPr>
        <w:pStyle w:val="Heading1"/>
        <w:pageBreakBefore/>
      </w:pPr>
      <w:r>
        <w:t>7 Orientación de la sesión y evaluación académica</w:t>
      </w:r>
    </w:p>
    <w:p>
      <w:r>
        <w:rPr>
          <w:b/>
        </w:rPr>
        <w:t xml:space="preserve">Uso. </w:t>
      </w:r>
      <w:r>
        <w:t>La conducción docente transforma los resultados de la simulación en explicaciones económicas sustentadas.</w:t>
      </w:r>
    </w:p>
    <w:tbl>
      <w:tblPr>
        <w:tblW w:type="auto" w:w="0"/>
        <w:jc w:val="center"/>
        <w:tblLayout w:type="fixed"/>
        <w:tblLook w:firstColumn="1" w:firstRow="1" w:lastColumn="0" w:lastRow="0" w:noHBand="0" w:noVBand="1" w:val="04A0"/>
      </w:tblPr>
      <w:tblGrid>
        <w:gridCol w:w="1512"/>
        <w:gridCol w:w="3917"/>
        <w:gridCol w:w="4651"/>
      </w:tblGrid>
      <w:tr>
        <w:trPr>
          <w:tblHeader/>
          <w:cantSplit/>
        </w:trPr>
        <w:tc>
          <w:tcPr>
            <w:tcW w:type="dxa" w:w="1512"/>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color w:val="FFFFFF"/>
                <w:sz w:val="21"/>
              </w:rPr>
              <w:t>Tiempo</w:t>
            </w:r>
          </w:p>
        </w:tc>
        <w:tc>
          <w:tcPr>
            <w:tcW w:type="dxa" w:w="3917"/>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Actividad</w:t>
            </w:r>
          </w:p>
        </w:tc>
        <w:tc>
          <w:tcPr>
            <w:tcW w:type="dxa" w:w="4651"/>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Producto esperado</w:t>
            </w:r>
          </w:p>
        </w:tc>
      </w:tr>
      <w:tr>
        <w:trPr>
          <w:cantSplit/>
        </w:trPr>
        <w:tc>
          <w:tcPr>
            <w:tcW w:type="dxa" w:w="15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0 a 12 min</w:t>
            </w:r>
          </w:p>
        </w:tc>
        <w:tc>
          <w:tcPr>
            <w:tcW w:type="dxa" w:w="391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Contextualización, roles y explicación de cuentas</w:t>
            </w:r>
          </w:p>
        </w:tc>
        <w:tc>
          <w:tcPr>
            <w:tcW w:type="dxa" w:w="46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Cada participante identifica su decisión, contraparte y objetivo.</w:t>
            </w:r>
          </w:p>
        </w:tc>
      </w:tr>
      <w:tr>
        <w:trPr>
          <w:cantSplit/>
        </w:trPr>
        <w:tc>
          <w:tcPr>
            <w:tcW w:type="dxa" w:w="1512"/>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12 a 20 min</w:t>
            </w:r>
          </w:p>
        </w:tc>
        <w:tc>
          <w:tcPr>
            <w:tcW w:type="dxa" w:w="3917"/>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Ensayo sin puntos y reinicio de la mesa</w:t>
            </w:r>
          </w:p>
        </w:tc>
        <w:tc>
          <w:tcPr>
            <w:tcW w:type="dxa" w:w="4651"/>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Un proyecto y una compra comprendidos por los seis roles.</w:t>
            </w:r>
          </w:p>
        </w:tc>
      </w:tr>
      <w:tr>
        <w:trPr>
          <w:cantSplit/>
        </w:trPr>
        <w:tc>
          <w:tcPr>
            <w:tcW w:type="dxa" w:w="15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20 a 68 min</w:t>
            </w:r>
          </w:p>
        </w:tc>
        <w:tc>
          <w:tcPr>
            <w:tcW w:type="dxa" w:w="391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Cuatro rondas de 12 minutos</w:t>
            </w:r>
          </w:p>
        </w:tc>
        <w:tc>
          <w:tcPr>
            <w:tcW w:type="dxa" w:w="46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Convenios, lotes, contratos y resultados anuales registrados.</w:t>
            </w:r>
          </w:p>
        </w:tc>
      </w:tr>
      <w:tr>
        <w:trPr>
          <w:cantSplit/>
        </w:trPr>
        <w:tc>
          <w:tcPr>
            <w:tcW w:type="dxa" w:w="1512"/>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68 a 85 min</w:t>
            </w:r>
          </w:p>
        </w:tc>
        <w:tc>
          <w:tcPr>
            <w:tcW w:type="dxa" w:w="3917"/>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Comparación de las cinco economías</w:t>
            </w:r>
          </w:p>
        </w:tc>
        <w:tc>
          <w:tcPr>
            <w:tcW w:type="dxa" w:w="4651"/>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Explicación de diferencias en precios, producción y emisiones.</w:t>
            </w:r>
          </w:p>
        </w:tc>
      </w:tr>
      <w:tr>
        <w:trPr>
          <w:cantSplit/>
        </w:trPr>
        <w:tc>
          <w:tcPr>
            <w:tcW w:type="dxa" w:w="15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85 a 90 min</w:t>
            </w:r>
          </w:p>
        </w:tc>
        <w:tc>
          <w:tcPr>
            <w:tcW w:type="dxa" w:w="391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Respuesta individual de salida</w:t>
            </w:r>
          </w:p>
        </w:tc>
        <w:tc>
          <w:tcPr>
            <w:tcW w:type="dxa" w:w="46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Una decisión, una alternativa y sus consecuencias con dos datos.</w:t>
            </w:r>
          </w:p>
        </w:tc>
      </w:tr>
    </w:tbl>
    <w:p>
      <w:pPr>
        <w:spacing w:after="0" w:line="60" w:lineRule="exact"/>
      </w:pPr>
    </w:p>
    <w:p>
      <w:r>
        <w:t>Dentro de cada ronda se sugieren 2 minutos para anunciar la política, 2 para proponer, 3 para convenir financiación, 1 para verificar, 2 para transar y liquidar y 2 para revisar. La distribución es una pauta para pilotaje, no un tiempo comprobado en aula.</w:t>
      </w:r>
    </w:p>
    <w:p>
      <w:r>
        <w:t>El profesor exige explicaciones sin recomendar una tarifa, precio o producción óptimos. Si una fundación no vende, se analiza la oferta y la demanda; si una empresa prefiere pagar impuesto, se compara su alternativa. No se obligan compras para garantizar resultados individuales.</w:t>
      </w:r>
    </w:p>
    <w:p>
      <w:pPr>
        <w:pStyle w:val="Heading2"/>
      </w:pPr>
      <w:r>
        <w:t>Rúbrica académica independiente de los puntos</w:t>
      </w:r>
    </w:p>
    <w:tbl>
      <w:tblPr>
        <w:tblW w:type="auto" w:w="0"/>
        <w:jc w:val="center"/>
        <w:tblLayout w:type="fixed"/>
        <w:tblLook w:firstColumn="1" w:firstRow="1" w:lastColumn="0" w:lastRow="0" w:noHBand="0" w:noVBand="1" w:val="04A0"/>
      </w:tblPr>
      <w:tblGrid>
        <w:gridCol w:w="2088"/>
        <w:gridCol w:w="936"/>
        <w:gridCol w:w="7056"/>
      </w:tblGrid>
      <w:tr>
        <w:trPr>
          <w:tblHeader/>
          <w:cantSplit/>
        </w:trPr>
        <w:tc>
          <w:tcPr>
            <w:tcW w:type="dxa" w:w="2088"/>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color w:val="FFFFFF"/>
                <w:sz w:val="21"/>
              </w:rPr>
              <w:t>Criterio</w:t>
            </w:r>
          </w:p>
        </w:tc>
        <w:tc>
          <w:tcPr>
            <w:tcW w:type="dxa" w:w="936"/>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Peso</w:t>
            </w:r>
          </w:p>
        </w:tc>
        <w:tc>
          <w:tcPr>
            <w:tcW w:type="dxa" w:w="7056"/>
            <w:vAlign w:val="center"/>
            <w:shd w:fill="3B4750"/>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1"/>
              </w:rPr>
              <w:t>Evidencia esperada</w:t>
            </w:r>
          </w:p>
        </w:tc>
      </w:tr>
      <w:tr>
        <w:trPr>
          <w:cantSplit/>
        </w:trPr>
        <w:tc>
          <w:tcPr>
            <w:tcW w:type="dxa" w:w="208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Distinción conceptual</w:t>
            </w:r>
          </w:p>
        </w:tc>
        <w:tc>
          <w:tcPr>
            <w:tcW w:type="dxa" w:w="93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30 %</w:t>
            </w:r>
          </w:p>
        </w:tc>
        <w:tc>
          <w:tcPr>
            <w:tcW w:type="dxa" w:w="70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Diferencia proyecto, financiación, crédito, verificación y retiro.</w:t>
            </w:r>
          </w:p>
        </w:tc>
      </w:tr>
      <w:tr>
        <w:trPr>
          <w:cantSplit/>
        </w:trPr>
        <w:tc>
          <w:tcPr>
            <w:tcW w:type="dxa" w:w="2088"/>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Argumentación con datos</w:t>
            </w:r>
          </w:p>
        </w:tc>
        <w:tc>
          <w:tcPr>
            <w:tcW w:type="dxa" w:w="93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30 %</w:t>
            </w:r>
          </w:p>
        </w:tc>
        <w:tc>
          <w:tcPr>
            <w:tcW w:type="dxa" w:w="705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Justifica una elección con precio, costo, impuesto, caja o producción de su partida.</w:t>
            </w:r>
          </w:p>
        </w:tc>
      </w:tr>
      <w:tr>
        <w:trPr>
          <w:cantSplit/>
        </w:trPr>
        <w:tc>
          <w:tcPr>
            <w:tcW w:type="dxa" w:w="208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Cuenta fiscal y física</w:t>
            </w:r>
          </w:p>
        </w:tc>
        <w:tc>
          <w:tcPr>
            <w:tcW w:type="dxa" w:w="93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25 %</w:t>
            </w:r>
          </w:p>
        </w:tc>
        <w:tc>
          <w:tcPr>
            <w:tcW w:type="dxa" w:w="70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Explica dónde ocurrió la reducción y evita descontar dos veces los créditos.</w:t>
            </w:r>
          </w:p>
        </w:tc>
      </w:tr>
      <w:tr>
        <w:trPr>
          <w:cantSplit/>
        </w:trPr>
        <w:tc>
          <w:tcPr>
            <w:tcW w:type="dxa" w:w="2088"/>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Mejora y participación</w:t>
            </w:r>
          </w:p>
        </w:tc>
        <w:tc>
          <w:tcPr>
            <w:tcW w:type="dxa" w:w="93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1"/>
              </w:rPr>
              <w:t>15 %</w:t>
            </w:r>
          </w:p>
        </w:tc>
        <w:tc>
          <w:tcPr>
            <w:tcW w:type="dxa" w:w="7056"/>
            <w:vAlign w:val="center"/>
            <w:shd w:fill="F1F4F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1"/>
              </w:rPr>
              <w:t>Propone una alternativa viable y documenta su aporte a la negociación.</w:t>
            </w:r>
          </w:p>
        </w:tc>
      </w:tr>
    </w:tbl>
    <w:p>
      <w:pPr>
        <w:spacing w:after="0" w:line="60" w:lineRule="exact"/>
      </w:pPr>
    </w:p>
    <w:p>
      <w:r>
        <w:t>Una victoria no equivale a una calificación alta y una derrota no impide demostrar aprendizaje. Se evalúa el razonamiento, la interpretación de datos y la participación. Las intensidades distintas generan dificultades diferentes entre empresas; no se comparan únicamente utilidades absolutas.</w:t>
      </w:r>
    </w:p>
    <w:p>
      <w:pPr>
        <w:pStyle w:val="Heading2"/>
      </w:pPr>
      <w:r>
        <w:t>Preguntas de discusión</w:t>
      </w:r>
    </w:p>
    <w:p>
      <w:r>
        <w:t>¿Por qué se aceptó ese precio y qué alternativa tenía cada contraparte? ¿Quién financió el proyecto y quién compró el crédito? ¿Cuánto cambió el impuesto y cuánto la emisión física? ¿Qué ocurrió con los créditos sin vender? ¿Qué decisión explica que una mesa logre o pierda la meta común?</w:t>
      </w:r>
    </w:p>
    <w:p>
      <w:r>
        <w:t>La respuesta individual debe identificar el rol, una decisión efectivamente tomada, una alternativa factible, dos datos de la partida y una consecuencia sobre su resultado y sobre la economía. El profesor puede usar los archivos exportados para contrastar las afirmaciones.</w:t>
      </w:r>
    </w:p>
    <w:p>
      <w:pPr>
        <w:pStyle w:val="Heading1"/>
        <w:pageBreakBefore/>
      </w:pPr>
      <w:r>
        <w:t>8 Limitaciones y condiciones de aplicación</w:t>
      </w:r>
    </w:p>
    <w:p>
      <w:r>
        <w:rPr>
          <w:b/>
        </w:rPr>
        <w:t xml:space="preserve">Uso. </w:t>
      </w:r>
      <w:r>
        <w:t>Las limitaciones delimitan lo que puede inferirse del juego y las condiciones mínimas para utilizarlo responsablemente en clase.</w:t>
      </w:r>
    </w:p>
    <w:p>
      <w:pPr>
        <w:pStyle w:val="Heading2"/>
      </w:pPr>
      <w:r>
        <w:t>Alcance económico y ambiental</w:t>
      </w:r>
    </w:p>
    <w:p>
      <w:r>
        <w:t>El precio del producto es fijo y toda la producción se vende; no hay mercado del bien, competencia por demanda, incertidumbre de ventas ni efectos macroeconómicos de equilibrio general. Los proyectos tienen costos y rendimientos conocidos, no presentan riesgo de falla técnica y carecen de costos operativos adicionales al catálogo.</w:t>
      </w:r>
    </w:p>
    <w:p>
      <w:r>
        <w:t>La verificación docente es didáctica. No demuestra adicionalidad, permanencia, ausencia de fuga, incertidumbre de medición ni calidad de créditos reales. Las reducciones se contabilizan frente a líneas base fijas; no hay auditoría independiente, metodologías de certificación o registro externo. Los créditos se tratan como homogéneos.</w:t>
      </w:r>
    </w:p>
    <w:p>
      <w:r>
        <w:t>No se incluyen comercio de permisos, mercados secundarios, conservación entre años, préstamos, anticipos, inversiones de reconversión interna, eventos regulatorios o mercados internacionales. Los proyectos no representan oportunidades ilimitadas: cada fundación tiene un tope físico de 100 tCO₂e anuales.</w:t>
      </w:r>
    </w:p>
    <w:p>
      <w:pPr>
        <w:pStyle w:val="Heading2"/>
      </w:pPr>
      <w:r>
        <w:t>Alcance técnico y privacidad</w:t>
      </w:r>
    </w:p>
    <w:p>
      <w:r>
        <w:t>La entrega es una aplicación estática para una mesa en un computador. No incorpora Firebase, sincronización entre dispositivos, cuentas de usuario ni control de acceso autenticado. La selección de rol y la cortina ayudan a compartir la pantalla, pero no protegen los datos frente a quien controle el navegador.</w:t>
      </w:r>
    </w:p>
    <w:p>
      <w:r>
        <w:t>La escena tridimensional requiere WebGL. Si el equipo no lo admite, se utiliza un mapa interactivo alternativo y se conservan los controles del juego. El entorno de prueba no permitió verificar el renderizado 3D; debe comprobarse en los computadores de la clase.</w:t>
      </w:r>
    </w:p>
    <w:p>
      <w:r>
        <w:t>El guardado local puede perderse si se borran datos del navegador, se usa otro dispositivo o cambia el origen de la aplicación. La exportación JSON es el respaldo operativo. La comparación docente depende de que los equipos entreguen sus archivos; no constituye un tablero conectado en tiempo real.</w:t>
      </w:r>
    </w:p>
    <w:p>
      <w:r>
        <w:t>El código y la configuración se entregan preparados para GitHub Pages. La publicación debe realizarla el responsable del repositorio; la entrega del paquete no implica que exista un sitio público desplegado. Los nombres personales que se ingresen quedan en los registros exportados: se recomienda utilizar identificadores de clase.</w:t>
      </w:r>
    </w:p>
    <w:p>
      <w:pPr>
        <w:pStyle w:val="Heading2"/>
      </w:pPr>
      <w:r>
        <w:t>Validación y pilotaje</w:t>
      </w:r>
    </w:p>
    <w:p>
      <w:r>
        <w:t>La versión supera 31 pruebas automatizadas del motor y compila. En navegador se comprobaron creación de mesa, cambio de rol, proyectos, verificación, negociación, cierre del primer año, apertura del segundo, ejemplo completo y recuperación al recargar. El ejemplo termina con 1.345 tCO₂e y 2.250 t de producción. Estas pruebas no equivalen a una sesión con seis estudiantes.</w:t>
      </w:r>
    </w:p>
    <w:p>
      <w:r>
        <w:t>La eficacia pedagógica, el equilibrio entre roles y la duración de 12 minutos por ronda requieren pilotaje con estudiantes. Se recomienda registrar comprensión inicial y final, participación por rol, contratos rechazados, créditos no vendidos y tiempo efectivo de cada etapa. Los criterios automáticos y la puntuación deben revisarse con esa evidencia.</w:t>
      </w:r>
    </w:p>
    <w:p>
      <w:r>
        <w:t>Fuentes: informe de reglas y prueba del 28 de octubre de 2026; engine.js y aplicación Tensión de Carbono 2.0.0. Los criterios automáticos y ajustes descritos corresponden a esta implementación.</w:t>
      </w:r>
    </w:p>
    <w:sectPr w:rsidR="00FC693F" w:rsidRPr="0006063C" w:rsidSect="00034616">
      <w:footerReference w:type="default" r:id="rId9"/>
      <w:pgSz w:w="12240" w:h="15840"/>
      <w:pgMar w:top="1037" w:right="1080" w:bottom="1037"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Tensión de Carbono 2.0.0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Instructivo académico del juego Tensión de Carbono</dc:title>
  <dc:subject>Aplicación docente y limitaciones de la versión 2</dc:subject>
  <dc:creator>Proyecto Tensión de Carbono</dc:creator>
  <cp:keywords/>
  <dc:description>generated by python-docx</dc:description>
  <cp:lastModifiedBy/>
  <cp:revision>1</cp:revision>
  <dcterms:created xsi:type="dcterms:W3CDTF">2013-12-23T23:15:00Z</dcterms:created>
  <dcterms:modified xsi:type="dcterms:W3CDTF">2013-12-23T23:15:00Z</dcterms:modified>
  <cp:category/>
</cp:coreProperties>
</file>