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Boceto del juego de mercados de carbono</w:t>
      </w:r>
    </w:p>
    <w:p>
      <w:pPr>
        <w:pStyle w:val="Subtitle"/>
      </w:pPr>
      <w:r>
        <w:t>Tensión de Carbono  El Mercado en Juego</w:t>
      </w:r>
    </w:p>
    <w:p>
      <w:r>
        <w:t>La pregunta central del juego es cómo mantener una economía rentable mientras se reducen sus emisiones. Los estudiantes toman decisiones y negocian; un programa en Python o R registra sus acciones y calcula las consecuencias.</w:t>
      </w:r>
    </w:p>
    <w:p>
      <w:pPr>
        <w:pStyle w:val="Heading1"/>
      </w:pPr>
      <w:r>
        <w:t>Objetivo de aprendizaje</w:t>
      </w:r>
    </w:p>
    <w:p>
      <w:r>
        <w:t>Comprender el funcionamiento de los mercados de carbono mediante decisiones de producción, inversión, regulación y negociación. El aprendizaje parte de la experiencia y de la discusión de sus resultados.</w:t>
      </w:r>
    </w:p>
    <w:p>
      <w:pPr>
        <w:pStyle w:val="Heading1"/>
      </w:pPr>
      <w:r>
        <w:t>Organización</w:t>
      </w:r>
    </w:p>
    <w:p>
      <w:r>
        <w:t>Participan cinco equipos de seis integrantes. Cada equipo representa una economía independiente con cuatro empresas, una fundación y un Estado. Todos parten de las mismas condiciones. Las transacciones se realizan dentro de cada equipo durante cuatro rondas, equivalentes a cuatro años.</w:t>
      </w:r>
    </w:p>
    <w:p>
      <w:pPr>
        <w:pStyle w:val="Heading1"/>
      </w:pPr>
      <w:r>
        <w:t>Roles y decisiones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12"/>
        <w:gridCol w:w="2880"/>
        <w:gridCol w:w="5688"/>
      </w:tblGrid>
      <w:tr>
        <w:trPr>
          <w:cantSplit/>
          <w:tblHeader/>
        </w:trPr>
        <w:tc>
          <w:tcPr>
            <w:tcW w:type="dxa" w:w="1512"/>
            <w:vAlign w:val="center"/>
            <w:tcMar>
              <w:top w:w="90" w:type="dxa"/>
              <w:bottom w:w="90" w:type="dxa"/>
              <w:left w:w="110" w:type="dxa"/>
              <w:right w:w="110" w:type="dxa"/>
            </w:tcMar>
            <w:shd w:fill="E7EDF2"/>
          </w:tcPr>
          <w:p>
            <w:pPr>
              <w:spacing w:after="0" w:line="245" w:lineRule="auto"/>
            </w:pPr>
            <w:r>
              <w:rPr>
                <w:b/>
                <w:color w:val="000000"/>
                <w:sz w:val="21"/>
              </w:rPr>
              <w:t>Rol</w:t>
            </w:r>
          </w:p>
        </w:tc>
        <w:tc>
          <w:tcPr>
            <w:tcW w:type="dxa" w:w="2880"/>
            <w:vAlign w:val="center"/>
            <w:tcMar>
              <w:top w:w="90" w:type="dxa"/>
              <w:bottom w:w="90" w:type="dxa"/>
              <w:left w:w="110" w:type="dxa"/>
              <w:right w:w="110" w:type="dxa"/>
            </w:tcMar>
            <w:shd w:fill="E7EDF2"/>
          </w:tcPr>
          <w:p>
            <w:pPr>
              <w:spacing w:after="0" w:line="245" w:lineRule="auto"/>
            </w:pPr>
            <w:r>
              <w:rPr>
                <w:b/>
                <w:color w:val="000000"/>
                <w:sz w:val="21"/>
              </w:rPr>
              <w:t>Qué busca</w:t>
            </w:r>
          </w:p>
        </w:tc>
        <w:tc>
          <w:tcPr>
            <w:tcW w:type="dxa" w:w="5688"/>
            <w:vAlign w:val="center"/>
            <w:tcMar>
              <w:top w:w="90" w:type="dxa"/>
              <w:bottom w:w="90" w:type="dxa"/>
              <w:left w:w="110" w:type="dxa"/>
              <w:right w:w="110" w:type="dxa"/>
            </w:tcMar>
            <w:shd w:fill="E7EDF2"/>
          </w:tcPr>
          <w:p>
            <w:pPr>
              <w:spacing w:after="0" w:line="245" w:lineRule="auto"/>
            </w:pPr>
            <w:r>
              <w:rPr>
                <w:b/>
                <w:color w:val="000000"/>
                <w:sz w:val="21"/>
              </w:rPr>
              <w:t>Qué puede decidir</w:t>
            </w:r>
          </w:p>
        </w:tc>
      </w:tr>
      <w:tr>
        <w:trPr>
          <w:cantSplit/>
        </w:trPr>
        <w:tc>
          <w:tcPr>
            <w:tcW w:type="dxa" w:w="1512"/>
            <w:vAlign w:val="center"/>
            <w:tcMar>
              <w:top w:w="90" w:type="dxa"/>
              <w:bottom w:w="90" w:type="dxa"/>
              <w:left w:w="110" w:type="dxa"/>
              <w:right w:w="110" w:type="dxa"/>
            </w:tcMar>
            <w:shd w:fill="FFFFFF"/>
          </w:tcPr>
          <w:p>
            <w:pPr>
              <w:spacing w:after="0" w:line="245" w:lineRule="auto"/>
            </w:pPr>
            <w:r>
              <w:rPr>
                <w:color w:val="000000"/>
                <w:sz w:val="21"/>
              </w:rPr>
              <w:t>Cuatro empresas</w:t>
            </w:r>
          </w:p>
        </w:tc>
        <w:tc>
          <w:tcPr>
            <w:tcW w:type="dxa" w:w="2880"/>
            <w:vAlign w:val="center"/>
            <w:tcMar>
              <w:top w:w="90" w:type="dxa"/>
              <w:bottom w:w="90" w:type="dxa"/>
              <w:left w:w="110" w:type="dxa"/>
              <w:right w:w="110" w:type="dxa"/>
            </w:tcMar>
            <w:shd w:fill="FFFFFF"/>
          </w:tcPr>
          <w:p>
            <w:pPr>
              <w:spacing w:after="0" w:line="245" w:lineRule="auto"/>
            </w:pPr>
            <w:r>
              <w:rPr>
                <w:color w:val="000000"/>
                <w:sz w:val="21"/>
              </w:rPr>
              <w:t>Obtener ganancias y cumplir la regulación.</w:t>
            </w:r>
          </w:p>
        </w:tc>
        <w:tc>
          <w:tcPr>
            <w:tcW w:type="dxa" w:w="5688"/>
            <w:vAlign w:val="center"/>
            <w:tcMar>
              <w:top w:w="90" w:type="dxa"/>
              <w:bottom w:w="90" w:type="dxa"/>
              <w:left w:w="110" w:type="dxa"/>
              <w:right w:w="110" w:type="dxa"/>
            </w:tcMar>
            <w:shd w:fill="FFFFFF"/>
          </w:tcPr>
          <w:p>
            <w:pPr>
              <w:spacing w:after="0" w:line="245" w:lineRule="auto"/>
            </w:pPr>
            <w:r>
              <w:rPr>
                <w:color w:val="000000"/>
                <w:sz w:val="21"/>
              </w:rPr>
              <w:t>Cuánto producir, invertir en tecnología menos contaminante, comprar o vender permisos y comprar créditos.</w:t>
            </w:r>
          </w:p>
        </w:tc>
      </w:tr>
      <w:tr>
        <w:trPr>
          <w:cantSplit/>
        </w:trPr>
        <w:tc>
          <w:tcPr>
            <w:tcW w:type="dxa" w:w="1512"/>
            <w:vAlign w:val="center"/>
            <w:tcMar>
              <w:top w:w="90" w:type="dxa"/>
              <w:bottom w:w="90" w:type="dxa"/>
              <w:left w:w="110" w:type="dxa"/>
              <w:right w:w="110" w:type="dxa"/>
            </w:tcMar>
            <w:shd w:fill="FFFFFF"/>
          </w:tcPr>
          <w:p>
            <w:pPr>
              <w:spacing w:after="0" w:line="245" w:lineRule="auto"/>
            </w:pPr>
            <w:r>
              <w:rPr>
                <w:color w:val="000000"/>
                <w:sz w:val="21"/>
              </w:rPr>
              <w:t>Una fundación</w:t>
            </w:r>
          </w:p>
        </w:tc>
        <w:tc>
          <w:tcPr>
            <w:tcW w:type="dxa" w:w="2880"/>
            <w:vAlign w:val="center"/>
            <w:tcMar>
              <w:top w:w="90" w:type="dxa"/>
              <w:bottom w:w="90" w:type="dxa"/>
              <w:left w:w="110" w:type="dxa"/>
              <w:right w:w="110" w:type="dxa"/>
            </w:tcMar>
            <w:shd w:fill="FFFFFF"/>
          </w:tcPr>
          <w:p>
            <w:pPr>
              <w:spacing w:after="0" w:line="245" w:lineRule="auto"/>
            </w:pPr>
            <w:r>
              <w:rPr>
                <w:color w:val="000000"/>
                <w:sz w:val="21"/>
              </w:rPr>
              <w:t>Financiar proyectos que reduzcan emisiones.</w:t>
            </w:r>
          </w:p>
        </w:tc>
        <w:tc>
          <w:tcPr>
            <w:tcW w:type="dxa" w:w="5688"/>
            <w:vAlign w:val="center"/>
            <w:tcMar>
              <w:top w:w="90" w:type="dxa"/>
              <w:bottom w:w="90" w:type="dxa"/>
              <w:left w:w="110" w:type="dxa"/>
              <w:right w:w="110" w:type="dxa"/>
            </w:tcMar>
            <w:shd w:fill="FFFFFF"/>
          </w:tcPr>
          <w:p>
            <w:pPr>
              <w:spacing w:after="0" w:line="245" w:lineRule="auto"/>
            </w:pPr>
            <w:r>
              <w:rPr>
                <w:color w:val="000000"/>
                <w:sz w:val="21"/>
              </w:rPr>
              <w:t>Qué proyecto desarrollar y a qué precio vender sus créditos.</w:t>
            </w:r>
          </w:p>
        </w:tc>
      </w:tr>
      <w:tr>
        <w:trPr>
          <w:cantSplit/>
        </w:trPr>
        <w:tc>
          <w:tcPr>
            <w:tcW w:type="dxa" w:w="1512"/>
            <w:vAlign w:val="center"/>
            <w:tcMar>
              <w:top w:w="90" w:type="dxa"/>
              <w:bottom w:w="90" w:type="dxa"/>
              <w:left w:w="110" w:type="dxa"/>
              <w:right w:w="110" w:type="dxa"/>
            </w:tcMar>
            <w:shd w:fill="FFFFFF"/>
          </w:tcPr>
          <w:p>
            <w:pPr>
              <w:spacing w:after="0" w:line="245" w:lineRule="auto"/>
            </w:pPr>
            <w:r>
              <w:rPr>
                <w:color w:val="000000"/>
                <w:sz w:val="21"/>
              </w:rPr>
              <w:t>Un Estado</w:t>
            </w:r>
          </w:p>
        </w:tc>
        <w:tc>
          <w:tcPr>
            <w:tcW w:type="dxa" w:w="2880"/>
            <w:vAlign w:val="center"/>
            <w:tcMar>
              <w:top w:w="90" w:type="dxa"/>
              <w:bottom w:w="90" w:type="dxa"/>
              <w:left w:w="110" w:type="dxa"/>
              <w:right w:w="110" w:type="dxa"/>
            </w:tcMar>
            <w:shd w:fill="FFFFFF"/>
          </w:tcPr>
          <w:p>
            <w:pPr>
              <w:spacing w:after="0" w:line="245" w:lineRule="auto"/>
            </w:pPr>
            <w:r>
              <w:rPr>
                <w:color w:val="000000"/>
                <w:sz w:val="21"/>
              </w:rPr>
              <w:t>Reducir las emisiones y mantener la actividad económica.</w:t>
            </w:r>
          </w:p>
        </w:tc>
        <w:tc>
          <w:tcPr>
            <w:tcW w:type="dxa" w:w="5688"/>
            <w:vAlign w:val="center"/>
            <w:tcMar>
              <w:top w:w="90" w:type="dxa"/>
              <w:bottom w:w="90" w:type="dxa"/>
              <w:left w:w="110" w:type="dxa"/>
              <w:right w:w="110" w:type="dxa"/>
            </w:tcMar>
            <w:shd w:fill="FFFFFF"/>
          </w:tcPr>
          <w:p>
            <w:pPr>
              <w:spacing w:after="0" w:line="245" w:lineRule="auto"/>
            </w:pPr>
            <w:r>
              <w:rPr>
                <w:color w:val="000000"/>
                <w:sz w:val="21"/>
              </w:rPr>
              <w:t>Cómo distribuir los permisos, qué parte vender y qué inversiones apoyar.</w:t>
            </w:r>
          </w:p>
        </w:tc>
      </w:tr>
    </w:tbl>
    <w:p>
      <w:pPr>
        <w:spacing w:after="0"/>
      </w:pPr>
    </w:p>
    <w:p>
      <w:r>
        <w:t>Las empresas tienen costos e intensidades de emisiones diferentes, lo que crea oportunidades de negociación. La fundación elige entre un proyecto económico que reduce menos emisiones y otro más costoso que reduce más; ambos son válidos.</w:t>
      </w:r>
    </w:p>
    <w:p>
      <w:pPr>
        <w:pStyle w:val="Heading1"/>
      </w:pPr>
      <w:r>
        <w:t>Reglas esenciales</w:t>
      </w:r>
    </w:p>
    <w:p>
      <w:pPr>
        <w:pStyle w:val="ListBullet"/>
      </w:pPr>
      <w:r>
        <w:t>Producir genera ingresos y emisiones. Cada empresa elige una producción baja, media o alta.</w:t>
      </w:r>
    </w:p>
    <w:p>
      <w:pPr>
        <w:pStyle w:val="ListBullet"/>
      </w:pPr>
      <w:r>
        <w:t>Invertir requiere dinero y reduce las emisiones de producción en las rondas siguientes.</w:t>
      </w:r>
    </w:p>
    <w:p>
      <w:pPr>
        <w:pStyle w:val="ListBullet"/>
      </w:pPr>
      <w:r>
        <w:t>El Estado dispone de una cantidad limitada de permisos, que disminuye entre rondas. Cada permiso autoriza emitir una tonelada de CO₂ equivalente.</w:t>
      </w:r>
    </w:p>
    <w:p>
      <w:pPr>
        <w:pStyle w:val="ListBullet"/>
      </w:pPr>
      <w:r>
        <w:t>La fundación vende créditos respaldados por reducciones verificadas. Cada crédito representa una tonelada de CO₂ equivalente reducida por un proyecto.</w:t>
      </w:r>
    </w:p>
    <w:p>
      <w:pPr>
        <w:pStyle w:val="ListBullet"/>
      </w:pPr>
      <w:r>
        <w:t>Las empresas respaldan sus emisiones con permisos y créditos admitidos. Los créditos solo cubren una parte de sus emisiones. El incumplimiento genera una multa, pero pagarla no elimina las emisiones.</w:t>
      </w:r>
    </w:p>
    <w:p>
      <w:r>
        <w:br w:type="page"/>
      </w:r>
    </w:p>
    <w:p>
      <w:pPr>
        <w:pStyle w:val="Heading1"/>
      </w:pPr>
      <w:r>
        <w:t>Desarrollo de una ronda</w:t>
      </w:r>
    </w:p>
    <w:p>
      <w:pPr>
        <w:pStyle w:val="ListNumber"/>
      </w:pPr>
      <w:r>
        <w:t>El Estado anuncia los permisos disponibles y los apoyos.</w:t>
      </w:r>
    </w:p>
    <w:p>
      <w:pPr>
        <w:pStyle w:val="ListNumber"/>
      </w:pPr>
      <w:r>
        <w:t>Los participantes deciden producción, inversiones y proyectos.</w:t>
      </w:r>
    </w:p>
    <w:p>
      <w:pPr>
        <w:pStyle w:val="ListNumber"/>
      </w:pPr>
      <w:r>
        <w:t>Negocian permisos, créditos y financiación.</w:t>
      </w:r>
    </w:p>
    <w:p>
      <w:pPr>
        <w:pStyle w:val="ListNumber"/>
      </w:pPr>
      <w:r>
        <w:t>Registran sus decisiones y acuerdos en el programa.</w:t>
      </w:r>
    </w:p>
    <w:p>
      <w:pPr>
        <w:pStyle w:val="ListNumber"/>
      </w:pPr>
      <w:r>
        <w:t>Observan los resultados y preparan la siguiente ronda.</w:t>
      </w:r>
    </w:p>
    <w:p>
      <w:pPr>
        <w:pStyle w:val="Heading1"/>
      </w:pPr>
      <w:r>
        <w:t>Apoyo del programa</w:t>
      </w:r>
    </w:p>
    <w:p>
      <w:r>
        <w:t>El programa calcula y muestra información para decidir. Los estudiantes interpretan los resultados; por ejemplo, por qué una inversión disminuyó el dinero disponible o por qué comprar créditos permitió cumplir sin reducir las emisiones propias.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0"/>
        <w:gridCol w:w="5040"/>
      </w:tblGrid>
      <w:tr>
        <w:trPr>
          <w:cantSplit/>
          <w:tblHeader/>
        </w:trPr>
        <w:tc>
          <w:tcPr>
            <w:tcW w:type="dxa" w:w="5040"/>
            <w:vAlign w:val="center"/>
            <w:tcMar>
              <w:top w:w="90" w:type="dxa"/>
              <w:bottom w:w="90" w:type="dxa"/>
              <w:left w:w="110" w:type="dxa"/>
              <w:right w:w="110" w:type="dxa"/>
            </w:tcMar>
            <w:shd w:fill="E7EDF2"/>
          </w:tcPr>
          <w:p>
            <w:pPr>
              <w:spacing w:after="0" w:line="245" w:lineRule="auto"/>
            </w:pPr>
            <w:r>
              <w:rPr>
                <w:b/>
                <w:color w:val="000000"/>
                <w:sz w:val="21"/>
              </w:rPr>
              <w:t>Resultado económico</w:t>
            </w:r>
          </w:p>
        </w:tc>
        <w:tc>
          <w:tcPr>
            <w:tcW w:type="dxa" w:w="5040"/>
            <w:vAlign w:val="center"/>
            <w:tcMar>
              <w:top w:w="90" w:type="dxa"/>
              <w:bottom w:w="90" w:type="dxa"/>
              <w:left w:w="110" w:type="dxa"/>
              <w:right w:w="110" w:type="dxa"/>
            </w:tcMar>
            <w:shd w:fill="E7EDF2"/>
          </w:tcPr>
          <w:p>
            <w:pPr>
              <w:spacing w:after="0" w:line="245" w:lineRule="auto"/>
            </w:pPr>
            <w:r>
              <w:rPr>
                <w:b/>
                <w:color w:val="000000"/>
                <w:sz w:val="21"/>
              </w:rPr>
              <w:t>Resultado ambiental</w:t>
            </w:r>
          </w:p>
        </w:tc>
      </w:tr>
      <w:tr>
        <w:trPr>
          <w:cantSplit/>
        </w:trPr>
        <w:tc>
          <w:tcPr>
            <w:tcW w:type="dxa" w:w="5040"/>
            <w:vAlign w:val="center"/>
            <w:tcMar>
              <w:top w:w="90" w:type="dxa"/>
              <w:bottom w:w="90" w:type="dxa"/>
              <w:left w:w="110" w:type="dxa"/>
              <w:right w:w="110" w:type="dxa"/>
            </w:tcMar>
            <w:shd w:fill="FFFFFF"/>
          </w:tcPr>
          <w:p>
            <w:pPr>
              <w:spacing w:after="0" w:line="245" w:lineRule="auto"/>
            </w:pPr>
            <w:r>
              <w:rPr>
                <w:color w:val="000000"/>
                <w:sz w:val="21"/>
              </w:rPr>
              <w:t>Ganancias acumuladas en USD</w:t>
            </w:r>
          </w:p>
        </w:tc>
        <w:tc>
          <w:tcPr>
            <w:tcW w:type="dxa" w:w="5040"/>
            <w:vAlign w:val="center"/>
            <w:tcMar>
              <w:top w:w="90" w:type="dxa"/>
              <w:bottom w:w="90" w:type="dxa"/>
              <w:left w:w="110" w:type="dxa"/>
              <w:right w:w="110" w:type="dxa"/>
            </w:tcMar>
            <w:shd w:fill="FFFFFF"/>
          </w:tcPr>
          <w:p>
            <w:pPr>
              <w:spacing w:after="0" w:line="245" w:lineRule="auto"/>
            </w:pPr>
            <w:r>
              <w:rPr>
                <w:color w:val="000000"/>
                <w:sz w:val="21"/>
              </w:rPr>
              <w:t>Emisiones en toneladas de CO₂ equivalente o tCO₂e</w:t>
            </w:r>
          </w:p>
        </w:tc>
      </w:tr>
      <w:tr>
        <w:trPr>
          <w:cantSplit/>
        </w:trPr>
        <w:tc>
          <w:tcPr>
            <w:tcW w:type="dxa" w:w="5040"/>
            <w:vAlign w:val="center"/>
            <w:tcMar>
              <w:top w:w="90" w:type="dxa"/>
              <w:bottom w:w="90" w:type="dxa"/>
              <w:left w:w="110" w:type="dxa"/>
              <w:right w:w="110" w:type="dxa"/>
            </w:tcMar>
            <w:shd w:fill="FFFFFF"/>
          </w:tcPr>
          <w:p>
            <w:pPr>
              <w:spacing w:after="0" w:line="245" w:lineRule="auto"/>
            </w:pPr>
            <w:r>
              <w:rPr>
                <w:color w:val="000000"/>
                <w:sz w:val="21"/>
              </w:rPr>
              <w:t>Dinero disponible en USD</w:t>
            </w:r>
          </w:p>
        </w:tc>
        <w:tc>
          <w:tcPr>
            <w:tcW w:type="dxa" w:w="5040"/>
            <w:vAlign w:val="center"/>
            <w:tcMar>
              <w:top w:w="90" w:type="dxa"/>
              <w:bottom w:w="90" w:type="dxa"/>
              <w:left w:w="110" w:type="dxa"/>
              <w:right w:w="110" w:type="dxa"/>
            </w:tcMar>
            <w:shd w:fill="FFFFFF"/>
          </w:tcPr>
          <w:p>
            <w:pPr>
              <w:spacing w:after="0" w:line="245" w:lineRule="auto"/>
            </w:pPr>
            <w:r>
              <w:rPr>
                <w:color w:val="000000"/>
                <w:sz w:val="21"/>
              </w:rPr>
              <w:t>Reducciones de emisiones obtenidas</w:t>
            </w:r>
          </w:p>
        </w:tc>
      </w:tr>
      <w:tr>
        <w:trPr>
          <w:cantSplit/>
        </w:trPr>
        <w:tc>
          <w:tcPr>
            <w:tcW w:type="dxa" w:w="5040"/>
            <w:vAlign w:val="center"/>
            <w:tcMar>
              <w:top w:w="90" w:type="dxa"/>
              <w:bottom w:w="90" w:type="dxa"/>
              <w:left w:w="110" w:type="dxa"/>
              <w:right w:w="110" w:type="dxa"/>
            </w:tcMar>
            <w:shd w:fill="FFFFFF"/>
          </w:tcPr>
          <w:p>
            <w:pPr>
              <w:spacing w:after="0" w:line="245" w:lineRule="auto"/>
            </w:pPr>
            <w:r>
              <w:rPr>
                <w:color w:val="000000"/>
                <w:sz w:val="21"/>
              </w:rPr>
              <w:t>Precios negociados en USD por tCO₂e</w:t>
            </w:r>
          </w:p>
        </w:tc>
        <w:tc>
          <w:tcPr>
            <w:tcW w:type="dxa" w:w="5040"/>
            <w:vAlign w:val="center"/>
            <w:tcMar>
              <w:top w:w="90" w:type="dxa"/>
              <w:bottom w:w="90" w:type="dxa"/>
              <w:left w:w="110" w:type="dxa"/>
              <w:right w:w="110" w:type="dxa"/>
            </w:tcMar>
            <w:shd w:fill="FFFFFF"/>
          </w:tcPr>
          <w:p>
            <w:pPr>
              <w:spacing w:after="0" w:line="245" w:lineRule="auto"/>
            </w:pPr>
            <w:r>
              <w:rPr>
                <w:color w:val="000000"/>
                <w:sz w:val="21"/>
              </w:rPr>
              <w:t>Avance hacia la meta ambiental común</w:t>
            </w:r>
          </w:p>
        </w:tc>
      </w:tr>
    </w:tbl>
    <w:p>
      <w:pPr>
        <w:spacing w:after="0"/>
      </w:pPr>
    </w:p>
    <w:p>
      <w:r>
        <w:t>El programa valida la disponibilidad de dinero, permisos y créditos. Mantiene separados el cumplimiento de cada empresa y las emisiones reales del equipo para evitar contar dos veces una reducción.</w:t>
      </w:r>
    </w:p>
    <w:p>
      <w:pPr>
        <w:pStyle w:val="Heading1"/>
      </w:pPr>
      <w:r>
        <w:t>Victoria y pérdida colectiva</w:t>
      </w:r>
    </w:p>
    <w:p>
      <w:r>
        <w:t>Cada equipo tiene una meta ambiental común, visible durante toda la partida. Si al finalizar supera el límite de emisiones establecido, todos sus integrantes pierden, aunque alguno haya obtenido muchas ganancias.</w:t>
      </w:r>
    </w:p>
    <w:p>
      <w:r>
        <w:t>Si el equipo cumple la meta, se reconocen los logros de cada rol:</w:t>
      </w:r>
    </w:p>
    <w:p>
      <w:pPr>
        <w:pStyle w:val="ListBullet"/>
      </w:pPr>
      <w:r>
        <w:t>Empresas: se reconoce a la que obtuvo mayores ganancias cumpliendo la regulación.</w:t>
      </w:r>
    </w:p>
    <w:p>
      <w:pPr>
        <w:pStyle w:val="ListBullet"/>
      </w:pPr>
      <w:r>
        <w:t>Fundación: cumple su objetivo si financia proyectos, obtiene reducciones verificadas y se mantiene operativa.</w:t>
      </w:r>
    </w:p>
    <w:p>
      <w:pPr>
        <w:pStyle w:val="ListBullet"/>
      </w:pPr>
      <w:r>
        <w:t>Estado: cumple su objetivo si alcanza la meta ambiental y mantiene la producción mínima acordada.</w:t>
      </w:r>
    </w:p>
    <w:p>
      <w:r>
        <w:t>No hay un único rol ganador absoluto. Existen intereses individuales y una condición compartida de éxito.</w:t>
      </w:r>
    </w:p>
    <w:p>
      <w:pPr>
        <w:pStyle w:val="Heading1"/>
      </w:pPr>
      <w:r>
        <w:t>Cierre de la actividad</w:t>
      </w:r>
    </w:p>
    <w:p>
      <w:r>
        <w:t>Los cinco equipos comparan sus decisiones y resultados: qué negociaron, quién invirtió, cómo cambiaron los precios y por qué unas economías cumplieron la meta y otras no. Esta discusión conecta la experiencia con los conceptos económicos.</w:t>
      </w:r>
    </w:p>
    <w:p>
      <w:pPr>
        <w:pStyle w:val="Heading1"/>
      </w:pPr>
      <w:r>
        <w:t>Parámetros para la prueba del prototipo</w:t>
      </w:r>
    </w:p>
    <w:p>
      <w:r>
        <w:t>Antes de jugar se definirán los recursos iniciales, los costos, los permisos por ronda, el límite de uso de créditos, las multas y las metas ambiental y de producción. Estos valores se ajustarán mediante una partida de prueba.</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20"/>
      <w:outlineLvl w:val="0"/>
    </w:pPr>
    <w:rPr>
      <w:rFonts w:asciiTheme="majorHAnsi" w:eastAsiaTheme="majorEastAsia" w:hAnsiTheme="majorHAnsi" w:cstheme="majorBidi" w:ascii="Calibri" w:hAnsi="Calibr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before="0"/>
      <w:contextualSpacing/>
    </w:pPr>
    <w:rPr>
      <w:rFonts w:asciiTheme="majorHAnsi" w:eastAsiaTheme="majorEastAsia" w:hAnsiTheme="majorHAnsi" w:cstheme="majorBidi" w:ascii="Calibri" w:hAnsi="Calibr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before="0"/>
    </w:pPr>
    <w:rPr>
      <w:rFonts w:asciiTheme="majorHAnsi" w:eastAsiaTheme="majorEastAsia" w:hAnsiTheme="majorHAnsi" w:cstheme="majorBidi" w:ascii="Calibri" w:hAnsi="Calibri"/>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52"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52"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Boceto del juego de mercados de carbono</dc:title>
  <dc:subject>Juego de roles para Economía Ambiental y Fundamentos de Economía</dc:subject>
  <dc:creator/>
  <cp:keywords>mercados de carbono, juego, boceto, pedagogía</cp:keywords>
  <dc:description>generated by python-docx</dc:description>
  <cp:lastModifiedBy/>
  <cp:revision>1</cp:revision>
  <dcterms:created xsi:type="dcterms:W3CDTF">2013-12-23T23:15:00Z</dcterms:created>
  <dcterms:modified xsi:type="dcterms:W3CDTF">2013-12-23T23:15:00Z</dcterms:modified>
  <cp:category/>
</cp:coreProperties>
</file>