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pedagógica del juego de créditos de carbono</w:t>
      </w:r>
    </w:p>
    <w:p>
      <w:pPr>
        <w:pStyle w:val="Subtitle"/>
      </w:pPr>
      <w:r>
        <w:t>Tensión de Carbono  Boceto operativo para una prueba en clase</w:t>
      </w:r>
    </w:p>
    <w:p>
      <w:r>
        <w:t>Simulación de negociación para comprender cómo se financian proyectos y se comercializan créditos de carbono bajo un impuesto ambiental. Los estudiantes deciden y argumentan; un programa en Python o R calcula emisiones, pagos, resultados y puntos. La propuesta está dirigida a estudiantes de tercer semestre con microeconomía y macroeconomía básicas.</w:t>
      </w:r>
    </w:p>
    <w:p>
      <w:pPr>
        <w:pStyle w:val="Heading1"/>
      </w:pPr>
      <w:r>
        <w:t>Organización y propósito</w:t>
      </w:r>
    </w:p>
    <w:p>
      <w:r>
        <w:t>Se forman cinco equipos de seis integrantes. Cada economía tiene tres empresas, dos fundaciones y un Estado. Se juegan cuatro rondas anuales. Las transacciones ocurren dentro de cada equipo, con condiciones iniciales comunes para comparar resultados al final.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040"/>
        <w:gridCol w:w="3312"/>
      </w:tblGrid>
      <w:tr>
        <w:trPr>
          <w:cantSplit/>
          <w:tblHeader/>
        </w:trPr>
        <w:tc>
          <w:tcPr>
            <w:tcW w:type="dxa" w:w="1728"/>
            <w:vAlign w:val="center"/>
            <w:tcMar>
              <w:top w:w="90" w:type="dxa"/>
              <w:bottom w:w="90" w:type="dxa"/>
              <w:left w:w="105" w:type="dxa"/>
              <w:right w:w="105" w:type="dxa"/>
            </w:tcMar>
            <w:shd w:fill="E7EDF2"/>
          </w:tcPr>
          <w:p>
            <w:pPr>
              <w:spacing w:after="0" w:line="242" w:lineRule="auto"/>
            </w:pPr>
            <w:r>
              <w:rPr>
                <w:b/>
                <w:color w:val="000000"/>
                <w:sz w:val="20"/>
              </w:rPr>
              <w:t>Rol</w:t>
            </w:r>
          </w:p>
        </w:tc>
        <w:tc>
          <w:tcPr>
            <w:tcW w:type="dxa" w:w="5040"/>
            <w:vAlign w:val="center"/>
            <w:tcMar>
              <w:top w:w="90" w:type="dxa"/>
              <w:bottom w:w="90" w:type="dxa"/>
              <w:left w:w="105" w:type="dxa"/>
              <w:right w:w="105" w:type="dxa"/>
            </w:tcMar>
            <w:shd w:fill="E7EDF2"/>
          </w:tcPr>
          <w:p>
            <w:pPr>
              <w:spacing w:after="0" w:line="242" w:lineRule="auto"/>
            </w:pPr>
            <w:r>
              <w:rPr>
                <w:b/>
                <w:color w:val="000000"/>
                <w:sz w:val="20"/>
              </w:rPr>
              <w:t>Responsabilidades</w:t>
            </w:r>
          </w:p>
        </w:tc>
        <w:tc>
          <w:tcPr>
            <w:tcW w:type="dxa" w:w="3312"/>
            <w:vAlign w:val="center"/>
            <w:tcMar>
              <w:top w:w="90" w:type="dxa"/>
              <w:bottom w:w="90" w:type="dxa"/>
              <w:left w:w="105" w:type="dxa"/>
              <w:right w:w="105" w:type="dxa"/>
            </w:tcMar>
            <w:shd w:fill="E7EDF2"/>
          </w:tcPr>
          <w:p>
            <w:pPr>
              <w:spacing w:after="0" w:line="242" w:lineRule="auto"/>
            </w:pPr>
            <w:r>
              <w:rPr>
                <w:b/>
                <w:color w:val="000000"/>
                <w:sz w:val="20"/>
              </w:rPr>
              <w:t>Información propia</w:t>
            </w:r>
          </w:p>
        </w:tc>
      </w:tr>
      <w:tr>
        <w:trPr>
          <w:cantSplit/>
        </w:trPr>
        <w:tc>
          <w:tcPr>
            <w:tcW w:type="dxa" w:w="1728"/>
            <w:vAlign w:val="center"/>
            <w:tcMar>
              <w:top w:w="90" w:type="dxa"/>
              <w:bottom w:w="90" w:type="dxa"/>
              <w:left w:w="105" w:type="dxa"/>
              <w:right w:w="105" w:type="dxa"/>
            </w:tcMar>
            <w:shd w:fill="FFFFFF"/>
          </w:tcPr>
          <w:p>
            <w:pPr>
              <w:spacing w:after="0" w:line="242" w:lineRule="auto"/>
            </w:pPr>
            <w:r>
              <w:rPr>
                <w:b w:val="0"/>
                <w:color w:val="000000"/>
                <w:sz w:val="20"/>
              </w:rPr>
              <w:t>Tres empresas</w:t>
            </w:r>
          </w:p>
        </w:tc>
        <w:tc>
          <w:tcPr>
            <w:tcW w:type="dxa" w:w="5040"/>
            <w:vAlign w:val="center"/>
            <w:tcMar>
              <w:top w:w="90" w:type="dxa"/>
              <w:bottom w:w="90" w:type="dxa"/>
              <w:left w:w="105" w:type="dxa"/>
              <w:right w:w="105" w:type="dxa"/>
            </w:tcMar>
            <w:shd w:fill="FFFFFF"/>
          </w:tcPr>
          <w:p>
            <w:pPr>
              <w:spacing w:after="0" w:line="242" w:lineRule="auto"/>
            </w:pPr>
            <w:r>
              <w:rPr>
                <w:b w:val="0"/>
                <w:color w:val="000000"/>
                <w:sz w:val="20"/>
              </w:rPr>
              <w:t>Elegir producción; negociar créditos o anticipos; pagar el impuesto.</w:t>
            </w:r>
          </w:p>
        </w:tc>
        <w:tc>
          <w:tcPr>
            <w:tcW w:type="dxa" w:w="3312"/>
            <w:vAlign w:val="center"/>
            <w:tcMar>
              <w:top w:w="90" w:type="dxa"/>
              <w:bottom w:w="90" w:type="dxa"/>
              <w:left w:w="105" w:type="dxa"/>
              <w:right w:w="105" w:type="dxa"/>
            </w:tcMar>
            <w:shd w:fill="FFFFFF"/>
          </w:tcPr>
          <w:p>
            <w:pPr>
              <w:spacing w:after="0" w:line="242" w:lineRule="auto"/>
            </w:pPr>
            <w:r>
              <w:rPr>
                <w:b w:val="0"/>
                <w:color w:val="000000"/>
                <w:sz w:val="20"/>
              </w:rPr>
              <w:t>Caja, costos, emisiones y resultados previstos.</w:t>
            </w:r>
          </w:p>
        </w:tc>
      </w:tr>
      <w:tr>
        <w:trPr>
          <w:cantSplit/>
        </w:trPr>
        <w:tc>
          <w:tcPr>
            <w:tcW w:type="dxa" w:w="1728"/>
            <w:vAlign w:val="center"/>
            <w:tcMar>
              <w:top w:w="90" w:type="dxa"/>
              <w:bottom w:w="90" w:type="dxa"/>
              <w:left w:w="105" w:type="dxa"/>
              <w:right w:w="105" w:type="dxa"/>
            </w:tcMar>
            <w:shd w:fill="FFFFFF"/>
          </w:tcPr>
          <w:p>
            <w:pPr>
              <w:spacing w:after="0" w:line="242" w:lineRule="auto"/>
            </w:pPr>
            <w:r>
              <w:rPr>
                <w:b w:val="0"/>
                <w:color w:val="000000"/>
                <w:sz w:val="20"/>
              </w:rPr>
              <w:t>Dos fundaciones</w:t>
            </w:r>
          </w:p>
        </w:tc>
        <w:tc>
          <w:tcPr>
            <w:tcW w:type="dxa" w:w="5040"/>
            <w:vAlign w:val="center"/>
            <w:tcMar>
              <w:top w:w="90" w:type="dxa"/>
              <w:bottom w:w="90" w:type="dxa"/>
              <w:left w:w="105" w:type="dxa"/>
              <w:right w:w="105" w:type="dxa"/>
            </w:tcMar>
            <w:shd w:fill="FFFFFF"/>
          </w:tcPr>
          <w:p>
            <w:pPr>
              <w:spacing w:after="0" w:line="242" w:lineRule="auto"/>
            </w:pPr>
            <w:r>
              <w:rPr>
                <w:b w:val="0"/>
                <w:color w:val="000000"/>
                <w:sz w:val="20"/>
              </w:rPr>
              <w:t>Elegir proyectos; reunir financiación; ejecutar y vender créditos.</w:t>
            </w:r>
          </w:p>
        </w:tc>
        <w:tc>
          <w:tcPr>
            <w:tcW w:type="dxa" w:w="3312"/>
            <w:vAlign w:val="center"/>
            <w:tcMar>
              <w:top w:w="90" w:type="dxa"/>
              <w:bottom w:w="90" w:type="dxa"/>
              <w:left w:w="105" w:type="dxa"/>
              <w:right w:w="105" w:type="dxa"/>
            </w:tcMar>
            <w:shd w:fill="FFFFFF"/>
          </w:tcPr>
          <w:p>
            <w:pPr>
              <w:spacing w:after="0" w:line="242" w:lineRule="auto"/>
            </w:pPr>
            <w:r>
              <w:rPr>
                <w:b w:val="0"/>
                <w:color w:val="000000"/>
                <w:sz w:val="20"/>
              </w:rPr>
              <w:t>Caja, proyectos activos y créditos disponibles o comprometidos.</w:t>
            </w:r>
          </w:p>
        </w:tc>
      </w:tr>
      <w:tr>
        <w:trPr>
          <w:cantSplit/>
        </w:trPr>
        <w:tc>
          <w:tcPr>
            <w:tcW w:type="dxa" w:w="1728"/>
            <w:vAlign w:val="center"/>
            <w:tcMar>
              <w:top w:w="90" w:type="dxa"/>
              <w:bottom w:w="90" w:type="dxa"/>
              <w:left w:w="105" w:type="dxa"/>
              <w:right w:w="105" w:type="dxa"/>
            </w:tcMar>
            <w:shd w:fill="FFFFFF"/>
          </w:tcPr>
          <w:p>
            <w:pPr>
              <w:spacing w:after="0" w:line="242" w:lineRule="auto"/>
            </w:pPr>
            <w:r>
              <w:rPr>
                <w:b w:val="0"/>
                <w:color w:val="000000"/>
                <w:sz w:val="20"/>
              </w:rPr>
              <w:t>Un Estado</w:t>
            </w:r>
          </w:p>
        </w:tc>
        <w:tc>
          <w:tcPr>
            <w:tcW w:type="dxa" w:w="5040"/>
            <w:vAlign w:val="center"/>
            <w:tcMar>
              <w:top w:w="90" w:type="dxa"/>
              <w:bottom w:w="90" w:type="dxa"/>
              <w:left w:w="105" w:type="dxa"/>
              <w:right w:w="105" w:type="dxa"/>
            </w:tcMar>
            <w:shd w:fill="FFFFFF"/>
          </w:tcPr>
          <w:p>
            <w:pPr>
              <w:spacing w:after="0" w:line="242" w:lineRule="auto"/>
            </w:pPr>
            <w:r>
              <w:rPr>
                <w:b w:val="0"/>
                <w:color w:val="000000"/>
                <w:sz w:val="20"/>
              </w:rPr>
              <w:t>Elegir la tarifa; reservar recaudo; asignar financiación y publicar criterios.</w:t>
            </w:r>
          </w:p>
        </w:tc>
        <w:tc>
          <w:tcPr>
            <w:tcW w:type="dxa" w:w="3312"/>
            <w:vAlign w:val="center"/>
            <w:tcMar>
              <w:top w:w="90" w:type="dxa"/>
              <w:bottom w:w="90" w:type="dxa"/>
              <w:left w:w="105" w:type="dxa"/>
              <w:right w:w="105" w:type="dxa"/>
            </w:tcMar>
            <w:shd w:fill="FFFFFF"/>
          </w:tcPr>
          <w:p>
            <w:pPr>
              <w:spacing w:after="0" w:line="242" w:lineRule="auto"/>
            </w:pPr>
            <w:r>
              <w:rPr>
                <w:b w:val="0"/>
                <w:color w:val="000000"/>
                <w:sz w:val="20"/>
              </w:rPr>
              <w:t>Presupuesto y solicitudes de financiación.</w:t>
            </w:r>
          </w:p>
        </w:tc>
      </w:tr>
    </w:tbl>
    <w:p>
      <w:pPr>
        <w:spacing w:after="0" w:line="72" w:lineRule="auto"/>
      </w:pPr>
    </w:p>
    <w:p>
      <w:pPr>
        <w:pStyle w:val="Heading1"/>
      </w:pPr>
      <w:r>
        <w:t>Aprendizajes esperados</w:t>
      </w:r>
    </w:p>
    <w:p>
      <w:pPr>
        <w:pStyle w:val="ListBullet"/>
      </w:pPr>
      <w:r>
        <w:t>Distinguir el proyecto, su financiación, el crédito emitido y el crédito utilizado.</w:t>
      </w:r>
    </w:p>
    <w:p>
      <w:pPr>
        <w:pStyle w:val="ListBullet"/>
      </w:pPr>
      <w:r>
        <w:t>Explicar cómo impuesto, costos y precios negociados cambian los incentivos de producción y compra.</w:t>
      </w:r>
    </w:p>
    <w:p>
      <w:pPr>
        <w:pStyle w:val="ListBullet"/>
      </w:pPr>
      <w:r>
        <w:t>Relacionar liquidez, utilidad y financiación sin confundir una transferencia con una reducción física.</w:t>
      </w:r>
    </w:p>
    <w:p>
      <w:pPr>
        <w:pStyle w:val="ListBullet"/>
      </w:pPr>
      <w:r>
        <w:t>Reconocer diferencias entre emisiones propias, base gravada y resultado ambiental colectivo.</w:t>
      </w:r>
    </w:p>
    <w:p>
      <w:pPr>
        <w:pStyle w:val="ListBullet"/>
      </w:pPr>
      <w:r>
        <w:t>Argumentar decisiones y valorar la política pública con evidencia del registro.</w:t>
      </w:r>
    </w:p>
    <w:p>
      <w:pPr>
        <w:pStyle w:val="Heading1"/>
      </w:pPr>
      <w:r>
        <w:t>Participación sin un rol central</w:t>
      </w:r>
    </w:p>
    <w:p>
      <w:r>
        <w:t>Ningún estudiante autoriza todas las operaciones ni controla la verificación. El catálogo y las bandas son comunes y los fija el docente. Las empresas y fundaciones pueden contratar directamente. El Estado financia proyectos dentro de su presupuesto, pero no fija sus costos ni los precios de los créditos. El programa registra y el docente resuelve dudas de procedimiento.</w:t>
      </w:r>
    </w:p>
    <w:p>
      <w:r>
        <w:t>Los parámetros siguientes son supuestos pedagógicos. El régimen fiscal con créditos y los costos de los proyectos no reproducen una legislación o cotización vigente. Se calibrarán mediante una prueba antes de aplicarlos como reglas definitivas.</w:t>
      </w:r>
    </w:p>
    <w:p>
      <w:r>
        <w:br w:type="page"/>
      </w:r>
    </w:p>
    <w:p>
      <w:pPr>
        <w:pStyle w:val="Heading1"/>
      </w:pPr>
      <w:r>
        <w:t>Producción e impuesto por bandas</w:t>
      </w:r>
    </w:p>
    <w:p>
      <w:r>
        <w:t>Cada empresa inicia con USD 5.000. Se utiliza un bien estandarizado, medido en toneladas de producto, cuyo precio de venta es USD 50 por tonelada. Las tablas evitan cálculos manuales y permiten comparar decisiones.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12"/>
        <w:gridCol w:w="1800"/>
        <w:gridCol w:w="2232"/>
        <w:gridCol w:w="2952"/>
      </w:tblGrid>
      <w:tr>
        <w:trPr>
          <w:cantSplit/>
          <w:tblHeader/>
        </w:trPr>
        <w:tc>
          <w:tcPr>
            <w:tcW w:type="dxa" w:w="1584"/>
            <w:vAlign w:val="center"/>
            <w:tcMar>
              <w:top w:w="90" w:type="dxa"/>
              <w:bottom w:w="90" w:type="dxa"/>
              <w:left w:w="105" w:type="dxa"/>
              <w:right w:w="105" w:type="dxa"/>
            </w:tcMar>
            <w:shd w:fill="E7EDF2"/>
          </w:tcPr>
          <w:p>
            <w:pPr>
              <w:spacing w:after="0" w:line="242" w:lineRule="auto"/>
            </w:pPr>
            <w:r>
              <w:rPr>
                <w:b/>
                <w:color w:val="000000"/>
                <w:sz w:val="20"/>
              </w:rPr>
              <w:t>Nivel</w:t>
            </w:r>
          </w:p>
        </w:tc>
        <w:tc>
          <w:tcPr>
            <w:tcW w:type="dxa" w:w="1512"/>
            <w:vAlign w:val="center"/>
            <w:tcMar>
              <w:top w:w="90" w:type="dxa"/>
              <w:bottom w:w="90" w:type="dxa"/>
              <w:left w:w="105" w:type="dxa"/>
              <w:right w:w="105" w:type="dxa"/>
            </w:tcMar>
            <w:shd w:fill="E7EDF2"/>
          </w:tcPr>
          <w:p>
            <w:pPr>
              <w:spacing w:after="0" w:line="242" w:lineRule="auto"/>
              <w:jc w:val="center"/>
            </w:pPr>
            <w:r>
              <w:rPr>
                <w:b/>
                <w:color w:val="000000"/>
                <w:sz w:val="20"/>
              </w:rPr>
              <w:t>Producción t</w:t>
            </w:r>
          </w:p>
        </w:tc>
        <w:tc>
          <w:tcPr>
            <w:tcW w:type="dxa" w:w="1800"/>
            <w:vAlign w:val="center"/>
            <w:tcMar>
              <w:top w:w="90" w:type="dxa"/>
              <w:bottom w:w="90" w:type="dxa"/>
              <w:left w:w="105" w:type="dxa"/>
              <w:right w:w="105" w:type="dxa"/>
            </w:tcMar>
            <w:shd w:fill="E7EDF2"/>
          </w:tcPr>
          <w:p>
            <w:pPr>
              <w:spacing w:after="0" w:line="242" w:lineRule="auto"/>
              <w:jc w:val="center"/>
            </w:pPr>
            <w:r>
              <w:rPr>
                <w:b/>
                <w:color w:val="000000"/>
                <w:sz w:val="20"/>
              </w:rPr>
              <w:t>Ingresos USD</w:t>
            </w:r>
          </w:p>
        </w:tc>
        <w:tc>
          <w:tcPr>
            <w:tcW w:type="dxa" w:w="2232"/>
            <w:vAlign w:val="center"/>
            <w:tcMar>
              <w:top w:w="90" w:type="dxa"/>
              <w:bottom w:w="90" w:type="dxa"/>
              <w:left w:w="105" w:type="dxa"/>
              <w:right w:w="105" w:type="dxa"/>
            </w:tcMar>
            <w:shd w:fill="E7EDF2"/>
          </w:tcPr>
          <w:p>
            <w:pPr>
              <w:spacing w:after="0" w:line="242" w:lineRule="auto"/>
              <w:jc w:val="center"/>
            </w:pPr>
            <w:r>
              <w:rPr>
                <w:b/>
                <w:color w:val="000000"/>
                <w:sz w:val="20"/>
              </w:rPr>
              <w:t>Costo operativo USD</w:t>
            </w:r>
          </w:p>
        </w:tc>
        <w:tc>
          <w:tcPr>
            <w:tcW w:type="dxa" w:w="2952"/>
            <w:vAlign w:val="center"/>
            <w:tcMar>
              <w:top w:w="90" w:type="dxa"/>
              <w:bottom w:w="90" w:type="dxa"/>
              <w:left w:w="105" w:type="dxa"/>
              <w:right w:w="105" w:type="dxa"/>
            </w:tcMar>
            <w:shd w:fill="E7EDF2"/>
          </w:tcPr>
          <w:p>
            <w:pPr>
              <w:spacing w:after="0" w:line="242" w:lineRule="auto"/>
              <w:jc w:val="center"/>
            </w:pPr>
            <w:r>
              <w:rPr>
                <w:b/>
                <w:color w:val="000000"/>
                <w:sz w:val="20"/>
              </w:rPr>
              <w:t>Utilidad antes de carbono USD</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Bajo</w:t>
            </w:r>
          </w:p>
        </w:tc>
        <w:tc>
          <w:tcPr>
            <w:tcW w:type="dxa" w:w="1512"/>
            <w:vAlign w:val="center"/>
            <w:tcMar>
              <w:top w:w="90" w:type="dxa"/>
              <w:bottom w:w="90" w:type="dxa"/>
              <w:left w:w="105" w:type="dxa"/>
              <w:right w:w="105" w:type="dxa"/>
            </w:tcMar>
            <w:shd w:fill="FFFFFF"/>
          </w:tcPr>
          <w:p>
            <w:pPr>
              <w:spacing w:after="0" w:line="242" w:lineRule="auto"/>
              <w:jc w:val="center"/>
            </w:pPr>
            <w:r>
              <w:rPr>
                <w:b w:val="0"/>
                <w:color w:val="000000"/>
                <w:sz w:val="20"/>
              </w:rPr>
              <w:t>100</w:t>
            </w:r>
          </w:p>
        </w:tc>
        <w:tc>
          <w:tcPr>
            <w:tcW w:type="dxa" w:w="1800"/>
            <w:vAlign w:val="center"/>
            <w:tcMar>
              <w:top w:w="90" w:type="dxa"/>
              <w:bottom w:w="90" w:type="dxa"/>
              <w:left w:w="105" w:type="dxa"/>
              <w:right w:w="105" w:type="dxa"/>
            </w:tcMar>
            <w:shd w:fill="FFFFFF"/>
          </w:tcPr>
          <w:p>
            <w:pPr>
              <w:spacing w:after="0" w:line="242" w:lineRule="auto"/>
              <w:jc w:val="center"/>
            </w:pPr>
            <w:r>
              <w:rPr>
                <w:b w:val="0"/>
                <w:color w:val="000000"/>
                <w:sz w:val="20"/>
              </w:rPr>
              <w:t>5.000</w:t>
            </w:r>
          </w:p>
        </w:tc>
        <w:tc>
          <w:tcPr>
            <w:tcW w:type="dxa" w:w="2232"/>
            <w:vAlign w:val="center"/>
            <w:tcMar>
              <w:top w:w="90" w:type="dxa"/>
              <w:bottom w:w="90" w:type="dxa"/>
              <w:left w:w="105" w:type="dxa"/>
              <w:right w:w="105" w:type="dxa"/>
            </w:tcMar>
            <w:shd w:fill="FFFFFF"/>
          </w:tcPr>
          <w:p>
            <w:pPr>
              <w:spacing w:after="0" w:line="242" w:lineRule="auto"/>
              <w:jc w:val="center"/>
            </w:pPr>
            <w:r>
              <w:rPr>
                <w:b w:val="0"/>
                <w:color w:val="000000"/>
                <w:sz w:val="20"/>
              </w:rPr>
              <w:t>3.400</w:t>
            </w:r>
          </w:p>
        </w:tc>
        <w:tc>
          <w:tcPr>
            <w:tcW w:type="dxa" w:w="2952"/>
            <w:vAlign w:val="center"/>
            <w:tcMar>
              <w:top w:w="90" w:type="dxa"/>
              <w:bottom w:w="90" w:type="dxa"/>
              <w:left w:w="105" w:type="dxa"/>
              <w:right w:w="105" w:type="dxa"/>
            </w:tcMar>
            <w:shd w:fill="FFFFFF"/>
          </w:tcPr>
          <w:p>
            <w:pPr>
              <w:spacing w:after="0" w:line="242" w:lineRule="auto"/>
              <w:jc w:val="center"/>
            </w:pPr>
            <w:r>
              <w:rPr>
                <w:b w:val="0"/>
                <w:color w:val="000000"/>
                <w:sz w:val="20"/>
              </w:rPr>
              <w:t>1.600</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Medio</w:t>
            </w:r>
          </w:p>
        </w:tc>
        <w:tc>
          <w:tcPr>
            <w:tcW w:type="dxa" w:w="1512"/>
            <w:vAlign w:val="center"/>
            <w:tcMar>
              <w:top w:w="90" w:type="dxa"/>
              <w:bottom w:w="90" w:type="dxa"/>
              <w:left w:w="105" w:type="dxa"/>
              <w:right w:w="105" w:type="dxa"/>
            </w:tcMar>
            <w:shd w:fill="FFFFFF"/>
          </w:tcPr>
          <w:p>
            <w:pPr>
              <w:spacing w:after="0" w:line="242" w:lineRule="auto"/>
              <w:jc w:val="center"/>
            </w:pPr>
            <w:r>
              <w:rPr>
                <w:b w:val="0"/>
                <w:color w:val="000000"/>
                <w:sz w:val="20"/>
              </w:rPr>
              <w:t>150</w:t>
            </w:r>
          </w:p>
        </w:tc>
        <w:tc>
          <w:tcPr>
            <w:tcW w:type="dxa" w:w="1800"/>
            <w:vAlign w:val="center"/>
            <w:tcMar>
              <w:top w:w="90" w:type="dxa"/>
              <w:bottom w:w="90" w:type="dxa"/>
              <w:left w:w="105" w:type="dxa"/>
              <w:right w:w="105" w:type="dxa"/>
            </w:tcMar>
            <w:shd w:fill="FFFFFF"/>
          </w:tcPr>
          <w:p>
            <w:pPr>
              <w:spacing w:after="0" w:line="242" w:lineRule="auto"/>
              <w:jc w:val="center"/>
            </w:pPr>
            <w:r>
              <w:rPr>
                <w:b w:val="0"/>
                <w:color w:val="000000"/>
                <w:sz w:val="20"/>
              </w:rPr>
              <w:t>7.500</w:t>
            </w:r>
          </w:p>
        </w:tc>
        <w:tc>
          <w:tcPr>
            <w:tcW w:type="dxa" w:w="2232"/>
            <w:vAlign w:val="center"/>
            <w:tcMar>
              <w:top w:w="90" w:type="dxa"/>
              <w:bottom w:w="90" w:type="dxa"/>
              <w:left w:w="105" w:type="dxa"/>
              <w:right w:w="105" w:type="dxa"/>
            </w:tcMar>
            <w:shd w:fill="FFFFFF"/>
          </w:tcPr>
          <w:p>
            <w:pPr>
              <w:spacing w:after="0" w:line="242" w:lineRule="auto"/>
              <w:jc w:val="center"/>
            </w:pPr>
            <w:r>
              <w:rPr>
                <w:b w:val="0"/>
                <w:color w:val="000000"/>
                <w:sz w:val="20"/>
              </w:rPr>
              <w:t>5.000</w:t>
            </w:r>
          </w:p>
        </w:tc>
        <w:tc>
          <w:tcPr>
            <w:tcW w:type="dxa" w:w="2952"/>
            <w:vAlign w:val="center"/>
            <w:tcMar>
              <w:top w:w="90" w:type="dxa"/>
              <w:bottom w:w="90" w:type="dxa"/>
              <w:left w:w="105" w:type="dxa"/>
              <w:right w:w="105" w:type="dxa"/>
            </w:tcMar>
            <w:shd w:fill="FFFFFF"/>
          </w:tcPr>
          <w:p>
            <w:pPr>
              <w:spacing w:after="0" w:line="242" w:lineRule="auto"/>
              <w:jc w:val="center"/>
            </w:pPr>
            <w:r>
              <w:rPr>
                <w:b w:val="0"/>
                <w:color w:val="000000"/>
                <w:sz w:val="20"/>
              </w:rPr>
              <w:t>2.500</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Medio-alto</w:t>
            </w:r>
          </w:p>
        </w:tc>
        <w:tc>
          <w:tcPr>
            <w:tcW w:type="dxa" w:w="1512"/>
            <w:vAlign w:val="center"/>
            <w:tcMar>
              <w:top w:w="90" w:type="dxa"/>
              <w:bottom w:w="90" w:type="dxa"/>
              <w:left w:w="105" w:type="dxa"/>
              <w:right w:w="105" w:type="dxa"/>
            </w:tcMar>
            <w:shd w:fill="FFFFFF"/>
          </w:tcPr>
          <w:p>
            <w:pPr>
              <w:spacing w:after="0" w:line="242" w:lineRule="auto"/>
              <w:jc w:val="center"/>
            </w:pPr>
            <w:r>
              <w:rPr>
                <w:b w:val="0"/>
                <w:color w:val="000000"/>
                <w:sz w:val="20"/>
              </w:rPr>
              <w:t>200</w:t>
            </w:r>
          </w:p>
        </w:tc>
        <w:tc>
          <w:tcPr>
            <w:tcW w:type="dxa" w:w="1800"/>
            <w:vAlign w:val="center"/>
            <w:tcMar>
              <w:top w:w="90" w:type="dxa"/>
              <w:bottom w:w="90" w:type="dxa"/>
              <w:left w:w="105" w:type="dxa"/>
              <w:right w:w="105" w:type="dxa"/>
            </w:tcMar>
            <w:shd w:fill="FFFFFF"/>
          </w:tcPr>
          <w:p>
            <w:pPr>
              <w:spacing w:after="0" w:line="242" w:lineRule="auto"/>
              <w:jc w:val="center"/>
            </w:pPr>
            <w:r>
              <w:rPr>
                <w:b w:val="0"/>
                <w:color w:val="000000"/>
                <w:sz w:val="20"/>
              </w:rPr>
              <w:t>10.000</w:t>
            </w:r>
          </w:p>
        </w:tc>
        <w:tc>
          <w:tcPr>
            <w:tcW w:type="dxa" w:w="2232"/>
            <w:vAlign w:val="center"/>
            <w:tcMar>
              <w:top w:w="90" w:type="dxa"/>
              <w:bottom w:w="90" w:type="dxa"/>
              <w:left w:w="105" w:type="dxa"/>
              <w:right w:w="105" w:type="dxa"/>
            </w:tcMar>
            <w:shd w:fill="FFFFFF"/>
          </w:tcPr>
          <w:p>
            <w:pPr>
              <w:spacing w:after="0" w:line="242" w:lineRule="auto"/>
              <w:jc w:val="center"/>
            </w:pPr>
            <w:r>
              <w:rPr>
                <w:b w:val="0"/>
                <w:color w:val="000000"/>
                <w:sz w:val="20"/>
              </w:rPr>
              <w:t>6.600</w:t>
            </w:r>
          </w:p>
        </w:tc>
        <w:tc>
          <w:tcPr>
            <w:tcW w:type="dxa" w:w="2952"/>
            <w:vAlign w:val="center"/>
            <w:tcMar>
              <w:top w:w="90" w:type="dxa"/>
              <w:bottom w:w="90" w:type="dxa"/>
              <w:left w:w="105" w:type="dxa"/>
              <w:right w:w="105" w:type="dxa"/>
            </w:tcMar>
            <w:shd w:fill="FFFFFF"/>
          </w:tcPr>
          <w:p>
            <w:pPr>
              <w:spacing w:after="0" w:line="242" w:lineRule="auto"/>
              <w:jc w:val="center"/>
            </w:pPr>
            <w:r>
              <w:rPr>
                <w:b w:val="0"/>
                <w:color w:val="000000"/>
                <w:sz w:val="20"/>
              </w:rPr>
              <w:t>3.400</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Alto</w:t>
            </w:r>
          </w:p>
        </w:tc>
        <w:tc>
          <w:tcPr>
            <w:tcW w:type="dxa" w:w="1512"/>
            <w:vAlign w:val="center"/>
            <w:tcMar>
              <w:top w:w="90" w:type="dxa"/>
              <w:bottom w:w="90" w:type="dxa"/>
              <w:left w:w="105" w:type="dxa"/>
              <w:right w:w="105" w:type="dxa"/>
            </w:tcMar>
            <w:shd w:fill="FFFFFF"/>
          </w:tcPr>
          <w:p>
            <w:pPr>
              <w:spacing w:after="0" w:line="242" w:lineRule="auto"/>
              <w:jc w:val="center"/>
            </w:pPr>
            <w:r>
              <w:rPr>
                <w:b w:val="0"/>
                <w:color w:val="000000"/>
                <w:sz w:val="20"/>
              </w:rPr>
              <w:t>250</w:t>
            </w:r>
          </w:p>
        </w:tc>
        <w:tc>
          <w:tcPr>
            <w:tcW w:type="dxa" w:w="1800"/>
            <w:vAlign w:val="center"/>
            <w:tcMar>
              <w:top w:w="90" w:type="dxa"/>
              <w:bottom w:w="90" w:type="dxa"/>
              <w:left w:w="105" w:type="dxa"/>
              <w:right w:w="105" w:type="dxa"/>
            </w:tcMar>
            <w:shd w:fill="FFFFFF"/>
          </w:tcPr>
          <w:p>
            <w:pPr>
              <w:spacing w:after="0" w:line="242" w:lineRule="auto"/>
              <w:jc w:val="center"/>
            </w:pPr>
            <w:r>
              <w:rPr>
                <w:b w:val="0"/>
                <w:color w:val="000000"/>
                <w:sz w:val="20"/>
              </w:rPr>
              <w:t>12.500</w:t>
            </w:r>
          </w:p>
        </w:tc>
        <w:tc>
          <w:tcPr>
            <w:tcW w:type="dxa" w:w="2232"/>
            <w:vAlign w:val="center"/>
            <w:tcMar>
              <w:top w:w="90" w:type="dxa"/>
              <w:bottom w:w="90" w:type="dxa"/>
              <w:left w:w="105" w:type="dxa"/>
              <w:right w:w="105" w:type="dxa"/>
            </w:tcMar>
            <w:shd w:fill="FFFFFF"/>
          </w:tcPr>
          <w:p>
            <w:pPr>
              <w:spacing w:after="0" w:line="242" w:lineRule="auto"/>
              <w:jc w:val="center"/>
            </w:pPr>
            <w:r>
              <w:rPr>
                <w:b w:val="0"/>
                <w:color w:val="000000"/>
                <w:sz w:val="20"/>
              </w:rPr>
              <w:t>8.400</w:t>
            </w:r>
          </w:p>
        </w:tc>
        <w:tc>
          <w:tcPr>
            <w:tcW w:type="dxa" w:w="2952"/>
            <w:vAlign w:val="center"/>
            <w:tcMar>
              <w:top w:w="90" w:type="dxa"/>
              <w:bottom w:w="90" w:type="dxa"/>
              <w:left w:w="105" w:type="dxa"/>
              <w:right w:w="105" w:type="dxa"/>
            </w:tcMar>
            <w:shd w:fill="FFFFFF"/>
          </w:tcPr>
          <w:p>
            <w:pPr>
              <w:spacing w:after="0" w:line="242" w:lineRule="auto"/>
              <w:jc w:val="center"/>
            </w:pPr>
            <w:r>
              <w:rPr>
                <w:b w:val="0"/>
                <w:color w:val="000000"/>
                <w:sz w:val="20"/>
              </w:rPr>
              <w:t>4.100</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Muy alto</w:t>
            </w:r>
          </w:p>
        </w:tc>
        <w:tc>
          <w:tcPr>
            <w:tcW w:type="dxa" w:w="1512"/>
            <w:vAlign w:val="center"/>
            <w:tcMar>
              <w:top w:w="90" w:type="dxa"/>
              <w:bottom w:w="90" w:type="dxa"/>
              <w:left w:w="105" w:type="dxa"/>
              <w:right w:w="105" w:type="dxa"/>
            </w:tcMar>
            <w:shd w:fill="FFFFFF"/>
          </w:tcPr>
          <w:p>
            <w:pPr>
              <w:spacing w:after="0" w:line="242" w:lineRule="auto"/>
              <w:jc w:val="center"/>
            </w:pPr>
            <w:r>
              <w:rPr>
                <w:b w:val="0"/>
                <w:color w:val="000000"/>
                <w:sz w:val="20"/>
              </w:rPr>
              <w:t>300</w:t>
            </w:r>
          </w:p>
        </w:tc>
        <w:tc>
          <w:tcPr>
            <w:tcW w:type="dxa" w:w="1800"/>
            <w:vAlign w:val="center"/>
            <w:tcMar>
              <w:top w:w="90" w:type="dxa"/>
              <w:bottom w:w="90" w:type="dxa"/>
              <w:left w:w="105" w:type="dxa"/>
              <w:right w:w="105" w:type="dxa"/>
            </w:tcMar>
            <w:shd w:fill="FFFFFF"/>
          </w:tcPr>
          <w:p>
            <w:pPr>
              <w:spacing w:after="0" w:line="242" w:lineRule="auto"/>
              <w:jc w:val="center"/>
            </w:pPr>
            <w:r>
              <w:rPr>
                <w:b w:val="0"/>
                <w:color w:val="000000"/>
                <w:sz w:val="20"/>
              </w:rPr>
              <w:t>15.000</w:t>
            </w:r>
          </w:p>
        </w:tc>
        <w:tc>
          <w:tcPr>
            <w:tcW w:type="dxa" w:w="2232"/>
            <w:vAlign w:val="center"/>
            <w:tcMar>
              <w:top w:w="90" w:type="dxa"/>
              <w:bottom w:w="90" w:type="dxa"/>
              <w:left w:w="105" w:type="dxa"/>
              <w:right w:w="105" w:type="dxa"/>
            </w:tcMar>
            <w:shd w:fill="FFFFFF"/>
          </w:tcPr>
          <w:p>
            <w:pPr>
              <w:spacing w:after="0" w:line="242" w:lineRule="auto"/>
              <w:jc w:val="center"/>
            </w:pPr>
            <w:r>
              <w:rPr>
                <w:b w:val="0"/>
                <w:color w:val="000000"/>
                <w:sz w:val="20"/>
              </w:rPr>
              <w:t>10.400</w:t>
            </w:r>
          </w:p>
        </w:tc>
        <w:tc>
          <w:tcPr>
            <w:tcW w:type="dxa" w:w="2952"/>
            <w:vAlign w:val="center"/>
            <w:tcMar>
              <w:top w:w="90" w:type="dxa"/>
              <w:bottom w:w="90" w:type="dxa"/>
              <w:left w:w="105" w:type="dxa"/>
              <w:right w:w="105" w:type="dxa"/>
            </w:tcMar>
            <w:shd w:fill="FFFFFF"/>
          </w:tcPr>
          <w:p>
            <w:pPr>
              <w:spacing w:after="0" w:line="242" w:lineRule="auto"/>
              <w:jc w:val="center"/>
            </w:pPr>
            <w:r>
              <w:rPr>
                <w:b w:val="0"/>
                <w:color w:val="000000"/>
                <w:sz w:val="20"/>
              </w:rPr>
              <w:t>4.600</w:t>
            </w:r>
          </w:p>
        </w:tc>
      </w:tr>
    </w:tbl>
    <w:p>
      <w:pPr>
        <w:spacing w:after="0" w:line="72" w:lineRule="auto"/>
      </w:pPr>
    </w:p>
    <w:p>
      <w:r>
        <w:t>La intensidad de emisiones es diferente: A emite 0,40 tCO₂e por tonelada de producto; B, 0,50; C, 0,60. Mantener otros parámetros comunes ayuda a observar cómo la intensidad modifica el costo ambiental y la negociación.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bottom w:w="90" w:type="dxa"/>
              <w:left w:w="105" w:type="dxa"/>
              <w:right w:w="105" w:type="dxa"/>
            </w:tcMar>
            <w:shd w:fill="E7EDF2"/>
          </w:tcPr>
          <w:p>
            <w:pPr>
              <w:spacing w:after="0" w:line="242" w:lineRule="auto"/>
            </w:pPr>
            <w:r>
              <w:rPr>
                <w:b/>
                <w:color w:val="000000"/>
                <w:sz w:val="20"/>
              </w:rPr>
              <w:t>Banda</w:t>
            </w:r>
          </w:p>
        </w:tc>
        <w:tc>
          <w:tcPr>
            <w:tcW w:type="dxa" w:w="7200"/>
            <w:vAlign w:val="center"/>
            <w:tcMar>
              <w:top w:w="90" w:type="dxa"/>
              <w:bottom w:w="90" w:type="dxa"/>
              <w:left w:w="105" w:type="dxa"/>
              <w:right w:w="105" w:type="dxa"/>
            </w:tcMar>
            <w:shd w:fill="E7EDF2"/>
          </w:tcPr>
          <w:p>
            <w:pPr>
              <w:spacing w:after="0" w:line="242" w:lineRule="auto"/>
              <w:jc w:val="center"/>
            </w:pPr>
            <w:r>
              <w:rPr>
                <w:b/>
                <w:color w:val="000000"/>
                <w:sz w:val="20"/>
              </w:rPr>
              <w:t>Tarifa elegible USD por tCO₂e</w:t>
            </w:r>
          </w:p>
        </w:tc>
      </w:tr>
      <w:tr>
        <w:trPr>
          <w:cantSplit/>
        </w:trPr>
        <w:tc>
          <w:tcPr>
            <w:tcW w:type="dxa" w:w="2880"/>
            <w:vAlign w:val="center"/>
            <w:tcMar>
              <w:top w:w="90" w:type="dxa"/>
              <w:bottom w:w="90" w:type="dxa"/>
              <w:left w:w="105" w:type="dxa"/>
              <w:right w:w="105" w:type="dxa"/>
            </w:tcMar>
            <w:shd w:fill="FFFFFF"/>
          </w:tcPr>
          <w:p>
            <w:pPr>
              <w:spacing w:after="0" w:line="242" w:lineRule="auto"/>
            </w:pPr>
            <w:r>
              <w:rPr>
                <w:b w:val="0"/>
                <w:color w:val="000000"/>
                <w:sz w:val="20"/>
              </w:rPr>
              <w:t>Baja</w:t>
            </w:r>
          </w:p>
        </w:tc>
        <w:tc>
          <w:tcPr>
            <w:tcW w:type="dxa" w:w="7200"/>
            <w:vAlign w:val="center"/>
            <w:tcMar>
              <w:top w:w="90" w:type="dxa"/>
              <w:bottom w:w="90" w:type="dxa"/>
              <w:left w:w="105" w:type="dxa"/>
              <w:right w:w="105" w:type="dxa"/>
            </w:tcMar>
            <w:shd w:fill="FFFFFF"/>
          </w:tcPr>
          <w:p>
            <w:pPr>
              <w:spacing w:after="0" w:line="242" w:lineRule="auto"/>
              <w:jc w:val="center"/>
            </w:pPr>
            <w:r>
              <w:rPr>
                <w:b w:val="0"/>
                <w:color w:val="000000"/>
                <w:sz w:val="20"/>
              </w:rPr>
              <w:t>20 a 25</w:t>
            </w:r>
          </w:p>
        </w:tc>
      </w:tr>
      <w:tr>
        <w:trPr>
          <w:cantSplit/>
        </w:trPr>
        <w:tc>
          <w:tcPr>
            <w:tcW w:type="dxa" w:w="2880"/>
            <w:vAlign w:val="center"/>
            <w:tcMar>
              <w:top w:w="90" w:type="dxa"/>
              <w:bottom w:w="90" w:type="dxa"/>
              <w:left w:w="105" w:type="dxa"/>
              <w:right w:w="105" w:type="dxa"/>
            </w:tcMar>
            <w:shd w:fill="FFFFFF"/>
          </w:tcPr>
          <w:p>
            <w:pPr>
              <w:spacing w:after="0" w:line="242" w:lineRule="auto"/>
            </w:pPr>
            <w:r>
              <w:rPr>
                <w:b w:val="0"/>
                <w:color w:val="000000"/>
                <w:sz w:val="20"/>
              </w:rPr>
              <w:t>Media</w:t>
            </w:r>
          </w:p>
        </w:tc>
        <w:tc>
          <w:tcPr>
            <w:tcW w:type="dxa" w:w="7200"/>
            <w:vAlign w:val="center"/>
            <w:tcMar>
              <w:top w:w="90" w:type="dxa"/>
              <w:bottom w:w="90" w:type="dxa"/>
              <w:left w:w="105" w:type="dxa"/>
              <w:right w:w="105" w:type="dxa"/>
            </w:tcMar>
            <w:shd w:fill="FFFFFF"/>
          </w:tcPr>
          <w:p>
            <w:pPr>
              <w:spacing w:after="0" w:line="242" w:lineRule="auto"/>
              <w:jc w:val="center"/>
            </w:pPr>
            <w:r>
              <w:rPr>
                <w:b w:val="0"/>
                <w:color w:val="000000"/>
                <w:sz w:val="20"/>
              </w:rPr>
              <w:t>26 a 32</w:t>
            </w:r>
          </w:p>
        </w:tc>
      </w:tr>
      <w:tr>
        <w:trPr>
          <w:cantSplit/>
        </w:trPr>
        <w:tc>
          <w:tcPr>
            <w:tcW w:type="dxa" w:w="2880"/>
            <w:vAlign w:val="center"/>
            <w:tcMar>
              <w:top w:w="90" w:type="dxa"/>
              <w:bottom w:w="90" w:type="dxa"/>
              <w:left w:w="105" w:type="dxa"/>
              <w:right w:w="105" w:type="dxa"/>
            </w:tcMar>
            <w:shd w:fill="FFFFFF"/>
          </w:tcPr>
          <w:p>
            <w:pPr>
              <w:spacing w:after="0" w:line="242" w:lineRule="auto"/>
            </w:pPr>
            <w:r>
              <w:rPr>
                <w:b w:val="0"/>
                <w:color w:val="000000"/>
                <w:sz w:val="20"/>
              </w:rPr>
              <w:t>Alta</w:t>
            </w:r>
          </w:p>
        </w:tc>
        <w:tc>
          <w:tcPr>
            <w:tcW w:type="dxa" w:w="7200"/>
            <w:vAlign w:val="center"/>
            <w:tcMar>
              <w:top w:w="90" w:type="dxa"/>
              <w:bottom w:w="90" w:type="dxa"/>
              <w:left w:w="105" w:type="dxa"/>
              <w:right w:w="105" w:type="dxa"/>
            </w:tcMar>
            <w:shd w:fill="FFFFFF"/>
          </w:tcPr>
          <w:p>
            <w:pPr>
              <w:spacing w:after="0" w:line="242" w:lineRule="auto"/>
              <w:jc w:val="center"/>
            </w:pPr>
            <w:r>
              <w:rPr>
                <w:b w:val="0"/>
                <w:color w:val="000000"/>
                <w:sz w:val="20"/>
              </w:rPr>
              <w:t>33 a 40</w:t>
            </w:r>
          </w:p>
        </w:tc>
      </w:tr>
    </w:tbl>
    <w:p>
      <w:pPr>
        <w:spacing w:after="0" w:line="72" w:lineRule="auto"/>
      </w:pPr>
    </w:p>
    <w:p>
      <w:r>
        <w:t>El Estado elige una tarifa entera dentro de las bandas al inicio de cada ronda. Se aplica la misma tarifa a las tres empresas y no se cambia retroactivamente. La tarifa no obliga a reducir una cantidad fija de emisiones.</w:t>
      </w:r>
    </w:p>
    <w:p>
      <w:pPr>
        <w:pStyle w:val="Heading2"/>
      </w:pPr>
      <w:r>
        <w:t>Uso fiscal de los créditos</w:t>
      </w:r>
    </w:p>
    <w:p>
      <w:r>
        <w:t>Cada crédito utilizado descuenta una tCO₂e de la base gravada. El máximo es el 50 % de las emisiones anuales de cada empresa. Los créditos se compran voluntariamente: su precio, el ahorro fiscal y los puntos influyen en la decisión. No se reparten ni comercializan permisos de emisión.</w:t>
      </w:r>
    </w:p>
    <w:p>
      <w:r>
        <w:t>Ejemplo: una empresa emite 80 tCO₂e y utiliza 20 créditos. A USD 20 por tonelada paga USD 1.200 de impuesto. Si pagó USD 15 por crédito, su compra costó USD 300. Sus emisiones propias continúan siendo 80 tCO₂e; la reducción del proyecto se registra aparte.</w:t>
      </w:r>
    </w:p>
    <w:p>
      <w:r>
        <w:t>La utilidad anual resta de los ingresos los costos operativos, el impuesto y el gasto en créditos. La caja es el dinero disponible. Ventas, costos e impuesto se liquidan al cierre; anticipos y proyectos requieren dinero disponible al contratar. No se incorporan préstamos ni inversiones propias de las empresas en este primer prototipo.</w:t>
      </w:r>
    </w:p>
    <w:p>
      <w:r>
        <w:br w:type="page"/>
      </w:r>
    </w:p>
    <w:p>
      <w:pPr>
        <w:pStyle w:val="Heading1"/>
      </w:pPr>
      <w:r>
        <w:t>Catálogo y transacción de proyectos y créditos</w:t>
      </w:r>
    </w:p>
    <w:p>
      <w:r>
        <w:t>Cada fundación inicia con USD 1.000 y administra actividades externas que, sin intervención, emiten 100 tCO₂e al año. El catálogo es común y lo determina el docente. El costo representa un paquete de ejecución, operación y verificación durante las rondas restantes del prototipo.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440"/>
        <w:gridCol w:w="2016"/>
        <w:gridCol w:w="3312"/>
      </w:tblGrid>
      <w:tr>
        <w:trPr>
          <w:cantSplit/>
          <w:tblHeader/>
        </w:trPr>
        <w:tc>
          <w:tcPr>
            <w:tcW w:type="dxa" w:w="3312"/>
            <w:vAlign w:val="center"/>
            <w:tcMar>
              <w:top w:w="90" w:type="dxa"/>
              <w:bottom w:w="90" w:type="dxa"/>
              <w:left w:w="105" w:type="dxa"/>
              <w:right w:w="105" w:type="dxa"/>
            </w:tcMar>
            <w:shd w:fill="E7EDF2"/>
          </w:tcPr>
          <w:p>
            <w:pPr>
              <w:spacing w:after="0" w:line="242" w:lineRule="auto"/>
            </w:pPr>
            <w:r>
              <w:rPr>
                <w:b/>
                <w:color w:val="000000"/>
                <w:sz w:val="20"/>
              </w:rPr>
              <w:t>Proyecto modular</w:t>
            </w:r>
          </w:p>
        </w:tc>
        <w:tc>
          <w:tcPr>
            <w:tcW w:type="dxa" w:w="1440"/>
            <w:vAlign w:val="center"/>
            <w:tcMar>
              <w:top w:w="90" w:type="dxa"/>
              <w:bottom w:w="90" w:type="dxa"/>
              <w:left w:w="105" w:type="dxa"/>
              <w:right w:w="105" w:type="dxa"/>
            </w:tcMar>
            <w:shd w:fill="E7EDF2"/>
          </w:tcPr>
          <w:p>
            <w:pPr>
              <w:spacing w:after="0" w:line="242" w:lineRule="auto"/>
              <w:jc w:val="center"/>
            </w:pPr>
            <w:r>
              <w:rPr>
                <w:b/>
                <w:color w:val="000000"/>
                <w:sz w:val="20"/>
              </w:rPr>
              <w:t>Costo USD</w:t>
            </w:r>
          </w:p>
        </w:tc>
        <w:tc>
          <w:tcPr>
            <w:tcW w:type="dxa" w:w="2016"/>
            <w:vAlign w:val="center"/>
            <w:tcMar>
              <w:top w:w="90" w:type="dxa"/>
              <w:bottom w:w="90" w:type="dxa"/>
              <w:left w:w="105" w:type="dxa"/>
              <w:right w:w="105" w:type="dxa"/>
            </w:tcMar>
            <w:shd w:fill="E7EDF2"/>
          </w:tcPr>
          <w:p>
            <w:pPr>
              <w:spacing w:after="0" w:line="242" w:lineRule="auto"/>
              <w:jc w:val="center"/>
            </w:pPr>
            <w:r>
              <w:rPr>
                <w:b/>
                <w:color w:val="000000"/>
                <w:sz w:val="20"/>
              </w:rPr>
              <w:t>Reducción anual tCO₂e</w:t>
            </w:r>
          </w:p>
        </w:tc>
        <w:tc>
          <w:tcPr>
            <w:tcW w:type="dxa" w:w="3312"/>
            <w:vAlign w:val="center"/>
            <w:tcMar>
              <w:top w:w="90" w:type="dxa"/>
              <w:bottom w:w="90" w:type="dxa"/>
              <w:left w:w="105" w:type="dxa"/>
              <w:right w:w="105" w:type="dxa"/>
            </w:tcMar>
            <w:shd w:fill="E7EDF2"/>
          </w:tcPr>
          <w:p>
            <w:pPr>
              <w:spacing w:after="0" w:line="242" w:lineRule="auto"/>
            </w:pPr>
            <w:r>
              <w:rPr>
                <w:b/>
                <w:color w:val="000000"/>
                <w:sz w:val="20"/>
              </w:rPr>
              <w:t>Inicio</w:t>
            </w:r>
          </w:p>
        </w:tc>
      </w:tr>
      <w:tr>
        <w:trPr>
          <w:cantSplit/>
        </w:trPr>
        <w:tc>
          <w:tcPr>
            <w:tcW w:type="dxa" w:w="3312"/>
            <w:vAlign w:val="center"/>
            <w:tcMar>
              <w:top w:w="90" w:type="dxa"/>
              <w:bottom w:w="90" w:type="dxa"/>
              <w:left w:w="105" w:type="dxa"/>
              <w:right w:w="105" w:type="dxa"/>
            </w:tcMar>
            <w:shd w:fill="FFFFFF"/>
          </w:tcPr>
          <w:p>
            <w:pPr>
              <w:spacing w:after="0" w:line="242" w:lineRule="auto"/>
            </w:pPr>
            <w:r>
              <w:rPr>
                <w:b w:val="0"/>
                <w:color w:val="000000"/>
                <w:sz w:val="20"/>
              </w:rPr>
              <w:t>Eficiencia energética comunitaria</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600</w:t>
            </w:r>
          </w:p>
        </w:tc>
        <w:tc>
          <w:tcPr>
            <w:tcW w:type="dxa" w:w="2016"/>
            <w:vAlign w:val="center"/>
            <w:tcMar>
              <w:top w:w="90" w:type="dxa"/>
              <w:bottom w:w="90" w:type="dxa"/>
              <w:left w:w="105" w:type="dxa"/>
              <w:right w:w="105" w:type="dxa"/>
            </w:tcMar>
            <w:shd w:fill="FFFFFF"/>
          </w:tcPr>
          <w:p>
            <w:pPr>
              <w:spacing w:after="0" w:line="242" w:lineRule="auto"/>
              <w:jc w:val="center"/>
            </w:pPr>
            <w:r>
              <w:rPr>
                <w:b w:val="0"/>
                <w:color w:val="000000"/>
                <w:sz w:val="20"/>
              </w:rPr>
              <w:t>20</w:t>
            </w:r>
          </w:p>
        </w:tc>
        <w:tc>
          <w:tcPr>
            <w:tcW w:type="dxa" w:w="3312"/>
            <w:vAlign w:val="center"/>
            <w:tcMar>
              <w:top w:w="90" w:type="dxa"/>
              <w:bottom w:w="90" w:type="dxa"/>
              <w:left w:w="105" w:type="dxa"/>
              <w:right w:w="105" w:type="dxa"/>
            </w:tcMar>
            <w:shd w:fill="FFFFFF"/>
          </w:tcPr>
          <w:p>
            <w:pPr>
              <w:spacing w:after="0" w:line="242" w:lineRule="auto"/>
            </w:pPr>
            <w:r>
              <w:rPr>
                <w:b w:val="0"/>
                <w:color w:val="000000"/>
                <w:sz w:val="20"/>
              </w:rPr>
              <w:t>Misma ronda, después de ejecutar y verificar.</w:t>
            </w:r>
          </w:p>
        </w:tc>
      </w:tr>
      <w:tr>
        <w:trPr>
          <w:cantSplit/>
        </w:trPr>
        <w:tc>
          <w:tcPr>
            <w:tcW w:type="dxa" w:w="3312"/>
            <w:vAlign w:val="center"/>
            <w:tcMar>
              <w:top w:w="90" w:type="dxa"/>
              <w:bottom w:w="90" w:type="dxa"/>
              <w:left w:w="105" w:type="dxa"/>
              <w:right w:w="105" w:type="dxa"/>
            </w:tcMar>
            <w:shd w:fill="FFFFFF"/>
          </w:tcPr>
          <w:p>
            <w:pPr>
              <w:spacing w:after="0" w:line="242" w:lineRule="auto"/>
            </w:pPr>
            <w:r>
              <w:rPr>
                <w:b w:val="0"/>
                <w:color w:val="000000"/>
                <w:sz w:val="20"/>
              </w:rPr>
              <w:t>Captura de metano en residuos</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1.000</w:t>
            </w:r>
          </w:p>
        </w:tc>
        <w:tc>
          <w:tcPr>
            <w:tcW w:type="dxa" w:w="2016"/>
            <w:vAlign w:val="center"/>
            <w:tcMar>
              <w:top w:w="90" w:type="dxa"/>
              <w:bottom w:w="90" w:type="dxa"/>
              <w:left w:w="105" w:type="dxa"/>
              <w:right w:w="105" w:type="dxa"/>
            </w:tcMar>
            <w:shd w:fill="FFFFFF"/>
          </w:tcPr>
          <w:p>
            <w:pPr>
              <w:spacing w:after="0" w:line="242" w:lineRule="auto"/>
              <w:jc w:val="center"/>
            </w:pPr>
            <w:r>
              <w:rPr>
                <w:b w:val="0"/>
                <w:color w:val="000000"/>
                <w:sz w:val="20"/>
              </w:rPr>
              <w:t>40</w:t>
            </w:r>
          </w:p>
        </w:tc>
        <w:tc>
          <w:tcPr>
            <w:tcW w:type="dxa" w:w="3312"/>
            <w:vAlign w:val="center"/>
            <w:tcMar>
              <w:top w:w="90" w:type="dxa"/>
              <w:bottom w:w="90" w:type="dxa"/>
              <w:left w:w="105" w:type="dxa"/>
              <w:right w:w="105" w:type="dxa"/>
            </w:tcMar>
            <w:shd w:fill="FFFFFF"/>
          </w:tcPr>
          <w:p>
            <w:pPr>
              <w:spacing w:after="0" w:line="242" w:lineRule="auto"/>
            </w:pPr>
            <w:r>
              <w:rPr>
                <w:b w:val="0"/>
                <w:color w:val="000000"/>
                <w:sz w:val="20"/>
              </w:rPr>
              <w:t>Misma ronda, después de ejecutar y verificar.</w:t>
            </w:r>
          </w:p>
        </w:tc>
      </w:tr>
    </w:tbl>
    <w:p>
      <w:pPr>
        <w:spacing w:after="0" w:line="72" w:lineRule="auto"/>
      </w:pPr>
    </w:p>
    <w:p>
      <w:r>
        <w:t>Los proyectos se pueden repetir y siguen activos hasta el final. La suma de sus reducciones no supera las 100 tCO₂e anuales de cada fundación. Condensar ejecución y verificación en una ronda es una simplificación temporal de la simulación.</w:t>
      </w:r>
    </w:p>
    <w:p>
      <w:pPr>
        <w:pStyle w:val="Heading2"/>
      </w:pPr>
      <w:r>
        <w:t>Tres acuerdos distintos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bottom w:w="90" w:type="dxa"/>
              <w:left w:w="105" w:type="dxa"/>
              <w:right w:w="105" w:type="dxa"/>
            </w:tcMar>
            <w:shd w:fill="E7EDF2"/>
          </w:tcPr>
          <w:p>
            <w:pPr>
              <w:spacing w:after="0" w:line="242" w:lineRule="auto"/>
            </w:pPr>
            <w:r>
              <w:rPr>
                <w:b/>
                <w:color w:val="000000"/>
                <w:sz w:val="20"/>
              </w:rPr>
              <w:t>Acuerdo</w:t>
            </w:r>
          </w:p>
        </w:tc>
        <w:tc>
          <w:tcPr>
            <w:tcW w:type="dxa" w:w="7200"/>
            <w:vAlign w:val="center"/>
            <w:tcMar>
              <w:top w:w="90" w:type="dxa"/>
              <w:bottom w:w="90" w:type="dxa"/>
              <w:left w:w="105" w:type="dxa"/>
              <w:right w:w="105" w:type="dxa"/>
            </w:tcMar>
            <w:shd w:fill="E7EDF2"/>
          </w:tcPr>
          <w:p>
            <w:pPr>
              <w:spacing w:after="0" w:line="242" w:lineRule="auto"/>
            </w:pPr>
            <w:r>
              <w:rPr>
                <w:b/>
                <w:color w:val="000000"/>
                <w:sz w:val="20"/>
              </w:rPr>
              <w:t>Objeto y derechos</w:t>
            </w:r>
          </w:p>
        </w:tc>
      </w:tr>
      <w:tr>
        <w:trPr>
          <w:cantSplit/>
        </w:trPr>
        <w:tc>
          <w:tcPr>
            <w:tcW w:type="dxa" w:w="2880"/>
            <w:vAlign w:val="center"/>
            <w:tcMar>
              <w:top w:w="90" w:type="dxa"/>
              <w:bottom w:w="90" w:type="dxa"/>
              <w:left w:w="105" w:type="dxa"/>
              <w:right w:w="105" w:type="dxa"/>
            </w:tcMar>
            <w:shd w:fill="FFFFFF"/>
          </w:tcPr>
          <w:p>
            <w:pPr>
              <w:spacing w:after="0" w:line="242" w:lineRule="auto"/>
            </w:pPr>
            <w:r>
              <w:rPr>
                <w:b w:val="0"/>
                <w:color w:val="000000"/>
                <w:sz w:val="20"/>
              </w:rPr>
              <w:t>Convenio público</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Estado y fundación pactan proyecto, costo y aporte. El aporte no es reembolsable y cubre hasta el 50 % del costo. No transfiere la propiedad del proyecto ni créditos al Estado.</w:t>
            </w:r>
          </w:p>
        </w:tc>
      </w:tr>
      <w:tr>
        <w:trPr>
          <w:cantSplit/>
        </w:trPr>
        <w:tc>
          <w:tcPr>
            <w:tcW w:type="dxa" w:w="2880"/>
            <w:vAlign w:val="center"/>
            <w:tcMar>
              <w:top w:w="90" w:type="dxa"/>
              <w:bottom w:w="90" w:type="dxa"/>
              <w:left w:w="105" w:type="dxa"/>
              <w:right w:w="105" w:type="dxa"/>
            </w:tcMar>
            <w:shd w:fill="FFFFFF"/>
          </w:tcPr>
          <w:p>
            <w:pPr>
              <w:spacing w:after="0" w:line="242" w:lineRule="auto"/>
            </w:pPr>
            <w:r>
              <w:rPr>
                <w:b w:val="0"/>
                <w:color w:val="000000"/>
                <w:sz w:val="20"/>
              </w:rPr>
              <w:t>Financiación con entrega de créditos</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Empresa y fundación pactan anticipo, cantidad, precio unitario y entrega tras verificación. El anticipo se descuenta del precio total. No permite usar créditos todavía inexistentes.</w:t>
            </w:r>
          </w:p>
        </w:tc>
      </w:tr>
      <w:tr>
        <w:trPr>
          <w:cantSplit/>
        </w:trPr>
        <w:tc>
          <w:tcPr>
            <w:tcW w:type="dxa" w:w="2880"/>
            <w:vAlign w:val="center"/>
            <w:tcMar>
              <w:top w:w="90" w:type="dxa"/>
              <w:bottom w:w="90" w:type="dxa"/>
              <w:left w:w="105" w:type="dxa"/>
              <w:right w:w="105" w:type="dxa"/>
            </w:tcMar>
            <w:shd w:fill="FFFFFF"/>
          </w:tcPr>
          <w:p>
            <w:pPr>
              <w:spacing w:after="0" w:line="242" w:lineRule="auto"/>
            </w:pPr>
            <w:r>
              <w:rPr>
                <w:b w:val="0"/>
                <w:color w:val="000000"/>
                <w:sz w:val="20"/>
              </w:rPr>
              <w:t>Compraventa de créditos emitidos</w:t>
            </w:r>
          </w:p>
        </w:tc>
        <w:tc>
          <w:tcPr>
            <w:tcW w:type="dxa" w:w="7200"/>
            <w:vAlign w:val="center"/>
            <w:tcMar>
              <w:top w:w="90" w:type="dxa"/>
              <w:bottom w:w="90" w:type="dxa"/>
              <w:left w:w="105" w:type="dxa"/>
              <w:right w:w="105" w:type="dxa"/>
            </w:tcMar>
            <w:shd w:fill="FFFFFF"/>
          </w:tcPr>
          <w:p>
            <w:pPr>
              <w:spacing w:after="0" w:line="242" w:lineRule="auto"/>
            </w:pPr>
            <w:r>
              <w:rPr>
                <w:b w:val="0"/>
                <w:color w:val="000000"/>
                <w:sz w:val="20"/>
              </w:rPr>
              <w:t>La empresa paga por una cantidad ya verificada. El registro transfiere los créditos y los retira al utilizarlos para el impuesto.</w:t>
            </w:r>
          </w:p>
        </w:tc>
      </w:tr>
    </w:tbl>
    <w:p>
      <w:pPr>
        <w:spacing w:after="0" w:line="72" w:lineRule="auto"/>
      </w:pPr>
    </w:p>
    <w:p>
      <w:r>
        <w:t>El proyecto no se vende como si fuera un crédito. La fundación conserva y opera el proyecto. Puede financiarlo con su caja, aportes públicos y anticipos privados; un convenio no puede prometer el mismo crédito a dos compradores. Si una entrega anticipada no se verifica, no hay beneficio fiscal y el anticipo correspondiente debe devolverse.</w:t>
      </w:r>
    </w:p>
    <w:p>
      <w:pPr>
        <w:pStyle w:val="Heading2"/>
      </w:pPr>
      <w:r>
        <w:t>Registro mínimo del contrato</w:t>
      </w:r>
    </w:p>
    <w:p>
      <w:r>
        <w:t>Se registran las partes, el proyecto o lote de créditos, la cantidad, el precio, el monto anticipado o pagado, el saldo y la ronda de entrega. Para convenios públicos se registra además el costo estándar, el aporte y el criterio de asignación. Cada crédito tiene un identificador y un año de emisión.</w:t>
      </w:r>
    </w:p>
    <w:p>
      <w:r>
        <w:t>El precio de un crédito se negocia libremente y puede ser distinto del costo de generar una tonelada o de la tarifa del impuesto. El Estado no garantiza compradores. Los créditos no utilizados no se trasladan a otros años para efectos fiscales en este piloto; la reducción física sí permanece registrada.</w:t>
      </w:r>
    </w:p>
    <w:p>
      <w:r>
        <w:br w:type="page"/>
      </w:r>
    </w:p>
    <w:p>
      <w:pPr>
        <w:pStyle w:val="Heading1"/>
      </w:pPr>
      <w:r>
        <w:t>Financiación pública y secuencia de una ronda</w:t>
      </w:r>
    </w:p>
    <w:p>
      <w:r>
        <w:t>El Estado inicia sin presupuesto para subvenciones. Reserva el 30 % del recaudo efectivo de cada ronda para financiar proyectos desde la siguiente. El saldo no asignado permanece en ese fondo. El restante 70 % se registra en el presupuesto general, sin darle usos adicionales en esta versión.</w:t>
      </w:r>
    </w:p>
    <w:p>
      <w:r>
        <w:t>La primera ronda se financia con recursos de las fundaciones o anticipos de empresas. Desde la segunda, el Estado puede complementar esa financiación. Usa criterios anunciados y aplica el mismo límite del 50 % del costo a las dos fundaciones. No debe agotar el fondo si no hay solicitudes elegibles.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0" w:type="dxa"/>
              <w:bottom w:w="90" w:type="dxa"/>
              <w:left w:w="105" w:type="dxa"/>
              <w:right w:w="105" w:type="dxa"/>
            </w:tcMar>
            <w:shd w:fill="E7EDF2"/>
          </w:tcPr>
          <w:p>
            <w:pPr>
              <w:spacing w:after="0" w:line="242" w:lineRule="auto"/>
            </w:pPr>
            <w:r>
              <w:rPr>
                <w:b/>
                <w:color w:val="000000"/>
                <w:sz w:val="20"/>
              </w:rPr>
              <w:t>Momento</w:t>
            </w:r>
          </w:p>
        </w:tc>
        <w:tc>
          <w:tcPr>
            <w:tcW w:type="dxa" w:w="7776"/>
            <w:vAlign w:val="center"/>
            <w:tcMar>
              <w:top w:w="90" w:type="dxa"/>
              <w:bottom w:w="90" w:type="dxa"/>
              <w:left w:w="105" w:type="dxa"/>
              <w:right w:w="105" w:type="dxa"/>
            </w:tcMar>
            <w:shd w:fill="E7EDF2"/>
          </w:tcPr>
          <w:p>
            <w:pPr>
              <w:spacing w:after="0" w:line="242" w:lineRule="auto"/>
            </w:pPr>
            <w:r>
              <w:rPr>
                <w:b/>
                <w:color w:val="000000"/>
                <w:sz w:val="20"/>
              </w:rPr>
              <w:t>Acciones</w:t>
            </w:r>
          </w:p>
        </w:tc>
      </w:tr>
      <w:tr>
        <w:trPr>
          <w:cantSplit/>
        </w:trPr>
        <w:tc>
          <w:tcPr>
            <w:tcW w:type="dxa" w:w="2304"/>
            <w:vAlign w:val="center"/>
            <w:tcMar>
              <w:top w:w="90" w:type="dxa"/>
              <w:bottom w:w="90" w:type="dxa"/>
              <w:left w:w="105" w:type="dxa"/>
              <w:right w:w="105" w:type="dxa"/>
            </w:tcMar>
            <w:shd w:fill="FFFFFF"/>
          </w:tcPr>
          <w:p>
            <w:pPr>
              <w:spacing w:after="0" w:line="242" w:lineRule="auto"/>
            </w:pPr>
            <w:r>
              <w:rPr>
                <w:b w:val="0"/>
                <w:color w:val="000000"/>
                <w:sz w:val="20"/>
              </w:rPr>
              <w:t>1 Anunciar</w:t>
            </w:r>
          </w:p>
        </w:tc>
        <w:tc>
          <w:tcPr>
            <w:tcW w:type="dxa" w:w="7776"/>
            <w:vAlign w:val="center"/>
            <w:tcMar>
              <w:top w:w="90" w:type="dxa"/>
              <w:bottom w:w="90" w:type="dxa"/>
              <w:left w:w="105" w:type="dxa"/>
              <w:right w:w="105" w:type="dxa"/>
            </w:tcMar>
            <w:shd w:fill="FFFFFF"/>
          </w:tcPr>
          <w:p>
            <w:pPr>
              <w:spacing w:after="0" w:line="242" w:lineRule="auto"/>
            </w:pPr>
            <w:r>
              <w:rPr>
                <w:b w:val="0"/>
                <w:color w:val="000000"/>
                <w:sz w:val="20"/>
              </w:rPr>
              <w:t>Estado publica tarifa, fondo disponible y criterio de aportes.</w:t>
            </w:r>
          </w:p>
        </w:tc>
      </w:tr>
      <w:tr>
        <w:trPr>
          <w:cantSplit/>
        </w:trPr>
        <w:tc>
          <w:tcPr>
            <w:tcW w:type="dxa" w:w="2304"/>
            <w:vAlign w:val="center"/>
            <w:tcMar>
              <w:top w:w="90" w:type="dxa"/>
              <w:bottom w:w="90" w:type="dxa"/>
              <w:left w:w="105" w:type="dxa"/>
              <w:right w:w="105" w:type="dxa"/>
            </w:tcMar>
            <w:shd w:fill="FFFFFF"/>
          </w:tcPr>
          <w:p>
            <w:pPr>
              <w:spacing w:after="0" w:line="242" w:lineRule="auto"/>
            </w:pPr>
            <w:r>
              <w:rPr>
                <w:b w:val="0"/>
                <w:color w:val="000000"/>
                <w:sz w:val="20"/>
              </w:rPr>
              <w:t>2 Proponer</w:t>
            </w:r>
          </w:p>
        </w:tc>
        <w:tc>
          <w:tcPr>
            <w:tcW w:type="dxa" w:w="7776"/>
            <w:vAlign w:val="center"/>
            <w:tcMar>
              <w:top w:w="90" w:type="dxa"/>
              <w:bottom w:w="90" w:type="dxa"/>
              <w:left w:w="105" w:type="dxa"/>
              <w:right w:w="105" w:type="dxa"/>
            </w:tcMar>
            <w:shd w:fill="FFFFFF"/>
          </w:tcPr>
          <w:p>
            <w:pPr>
              <w:spacing w:after="0" w:line="242" w:lineRule="auto"/>
            </w:pPr>
            <w:r>
              <w:rPr>
                <w:b w:val="0"/>
                <w:color w:val="000000"/>
                <w:sz w:val="20"/>
              </w:rPr>
              <w:t>Empresas eligen producción; fundaciones presentan proyectos y ofertas.</w:t>
            </w:r>
          </w:p>
        </w:tc>
      </w:tr>
      <w:tr>
        <w:trPr>
          <w:cantSplit/>
        </w:trPr>
        <w:tc>
          <w:tcPr>
            <w:tcW w:type="dxa" w:w="2304"/>
            <w:vAlign w:val="center"/>
            <w:tcMar>
              <w:top w:w="90" w:type="dxa"/>
              <w:bottom w:w="90" w:type="dxa"/>
              <w:left w:w="105" w:type="dxa"/>
              <w:right w:w="105" w:type="dxa"/>
            </w:tcMar>
            <w:shd w:fill="FFFFFF"/>
          </w:tcPr>
          <w:p>
            <w:pPr>
              <w:spacing w:after="0" w:line="242" w:lineRule="auto"/>
            </w:pPr>
            <w:r>
              <w:rPr>
                <w:b w:val="0"/>
                <w:color w:val="000000"/>
                <w:sz w:val="20"/>
              </w:rPr>
              <w:t>3 Contratar</w:t>
            </w:r>
          </w:p>
        </w:tc>
        <w:tc>
          <w:tcPr>
            <w:tcW w:type="dxa" w:w="7776"/>
            <w:vAlign w:val="center"/>
            <w:tcMar>
              <w:top w:w="90" w:type="dxa"/>
              <w:bottom w:w="90" w:type="dxa"/>
              <w:left w:w="105" w:type="dxa"/>
              <w:right w:w="105" w:type="dxa"/>
            </w:tcMar>
            <w:shd w:fill="FFFFFF"/>
          </w:tcPr>
          <w:p>
            <w:pPr>
              <w:spacing w:after="0" w:line="242" w:lineRule="auto"/>
            </w:pPr>
            <w:r>
              <w:rPr>
                <w:b w:val="0"/>
                <w:color w:val="000000"/>
                <w:sz w:val="20"/>
              </w:rPr>
              <w:t>Se registran convenios, anticipos y acuerdos de compra.</w:t>
            </w:r>
          </w:p>
        </w:tc>
      </w:tr>
      <w:tr>
        <w:trPr>
          <w:cantSplit/>
        </w:trPr>
        <w:tc>
          <w:tcPr>
            <w:tcW w:type="dxa" w:w="2304"/>
            <w:vAlign w:val="center"/>
            <w:tcMar>
              <w:top w:w="90" w:type="dxa"/>
              <w:bottom w:w="90" w:type="dxa"/>
              <w:left w:w="105" w:type="dxa"/>
              <w:right w:w="105" w:type="dxa"/>
            </w:tcMar>
            <w:shd w:fill="FFFFFF"/>
          </w:tcPr>
          <w:p>
            <w:pPr>
              <w:spacing w:after="0" w:line="242" w:lineRule="auto"/>
            </w:pPr>
            <w:r>
              <w:rPr>
                <w:b w:val="0"/>
                <w:color w:val="000000"/>
                <w:sz w:val="20"/>
              </w:rPr>
              <w:t>4 Ejecutar y verificar</w:t>
            </w:r>
          </w:p>
        </w:tc>
        <w:tc>
          <w:tcPr>
            <w:tcW w:type="dxa" w:w="7776"/>
            <w:vAlign w:val="center"/>
            <w:tcMar>
              <w:top w:w="90" w:type="dxa"/>
              <w:bottom w:w="90" w:type="dxa"/>
              <w:left w:w="105" w:type="dxa"/>
              <w:right w:w="105" w:type="dxa"/>
            </w:tcMar>
            <w:shd w:fill="FFFFFF"/>
          </w:tcPr>
          <w:p>
            <w:pPr>
              <w:spacing w:after="0" w:line="242" w:lineRule="auto"/>
            </w:pPr>
            <w:r>
              <w:rPr>
                <w:b w:val="0"/>
                <w:color w:val="000000"/>
                <w:sz w:val="20"/>
              </w:rPr>
              <w:t>Se pagan proyectos; el programa y el docente validan las reducciones.</w:t>
            </w:r>
          </w:p>
        </w:tc>
      </w:tr>
      <w:tr>
        <w:trPr>
          <w:cantSplit/>
        </w:trPr>
        <w:tc>
          <w:tcPr>
            <w:tcW w:type="dxa" w:w="2304"/>
            <w:vAlign w:val="center"/>
            <w:tcMar>
              <w:top w:w="90" w:type="dxa"/>
              <w:bottom w:w="90" w:type="dxa"/>
              <w:left w:w="105" w:type="dxa"/>
              <w:right w:w="105" w:type="dxa"/>
            </w:tcMar>
            <w:shd w:fill="FFFFFF"/>
          </w:tcPr>
          <w:p>
            <w:pPr>
              <w:spacing w:after="0" w:line="242" w:lineRule="auto"/>
            </w:pPr>
            <w:r>
              <w:rPr>
                <w:b w:val="0"/>
                <w:color w:val="000000"/>
                <w:sz w:val="20"/>
              </w:rPr>
              <w:t>5 Transar y liquidar</w:t>
            </w:r>
          </w:p>
        </w:tc>
        <w:tc>
          <w:tcPr>
            <w:tcW w:type="dxa" w:w="7776"/>
            <w:vAlign w:val="center"/>
            <w:tcMar>
              <w:top w:w="90" w:type="dxa"/>
              <w:bottom w:w="90" w:type="dxa"/>
              <w:left w:w="105" w:type="dxa"/>
              <w:right w:w="105" w:type="dxa"/>
            </w:tcMar>
            <w:shd w:fill="FFFFFF"/>
          </w:tcPr>
          <w:p>
            <w:pPr>
              <w:spacing w:after="0" w:line="242" w:lineRule="auto"/>
            </w:pPr>
            <w:r>
              <w:rPr>
                <w:b w:val="0"/>
                <w:color w:val="000000"/>
                <w:sz w:val="20"/>
              </w:rPr>
              <w:t>Se entregan créditos, cobran saldos, retiran créditos utilizados y pagan impuestos.</w:t>
            </w:r>
          </w:p>
        </w:tc>
      </w:tr>
      <w:tr>
        <w:trPr>
          <w:cantSplit/>
        </w:trPr>
        <w:tc>
          <w:tcPr>
            <w:tcW w:type="dxa" w:w="2304"/>
            <w:vAlign w:val="center"/>
            <w:tcMar>
              <w:top w:w="90" w:type="dxa"/>
              <w:bottom w:w="90" w:type="dxa"/>
              <w:left w:w="105" w:type="dxa"/>
              <w:right w:w="105" w:type="dxa"/>
            </w:tcMar>
            <w:shd w:fill="FFFFFF"/>
          </w:tcPr>
          <w:p>
            <w:pPr>
              <w:spacing w:after="0" w:line="242" w:lineRule="auto"/>
            </w:pPr>
            <w:r>
              <w:rPr>
                <w:b w:val="0"/>
                <w:color w:val="000000"/>
                <w:sz w:val="20"/>
              </w:rPr>
              <w:t>6 Observar y valorar</w:t>
            </w:r>
          </w:p>
        </w:tc>
        <w:tc>
          <w:tcPr>
            <w:tcW w:type="dxa" w:w="7776"/>
            <w:vAlign w:val="center"/>
            <w:tcMar>
              <w:top w:w="90" w:type="dxa"/>
              <w:bottom w:w="90" w:type="dxa"/>
              <w:left w:w="105" w:type="dxa"/>
              <w:right w:w="105" w:type="dxa"/>
            </w:tcMar>
            <w:shd w:fill="FFFFFF"/>
          </w:tcPr>
          <w:p>
            <w:pPr>
              <w:spacing w:after="0" w:line="242" w:lineRule="auto"/>
            </w:pPr>
            <w:r>
              <w:rPr>
                <w:b w:val="0"/>
                <w:color w:val="000000"/>
                <w:sz w:val="20"/>
              </w:rPr>
              <w:t>Se muestran caja, utilidad, emisiones, fondo siguiente y votos al Estado.</w:t>
            </w:r>
          </w:p>
        </w:tc>
      </w:tr>
    </w:tbl>
    <w:p>
      <w:pPr>
        <w:spacing w:after="0" w:line="72" w:lineRule="auto"/>
      </w:pPr>
    </w:p>
    <w:p>
      <w:pPr>
        <w:pStyle w:val="Heading2"/>
      </w:pPr>
      <w:r>
        <w:t>Dos cuentas que deben permanecer separadas</w:t>
      </w:r>
    </w:p>
    <w:p>
      <w:r>
        <w:t>Para calcular el impuesto, E es la emisión propia de una empresa, C sus créditos retirados y τ la tarifa en USD por tCO₂e. El impuesto es T = τ × (E − C), con C ≤ 0,50 × E. El programa calcula estas expresiones; los estudiantes interpretan su efecto.</w:t>
      </w:r>
    </w:p>
    <w:p>
      <w:r>
        <w:t>Para el ambiente, G es la emisión conjunta de las empresas y R la reducción física total verificada de los proyectos. Las emisiones reales del equipo son G + 200 − R. Las 200 tCO₂e son las actividades externas sin proyectos. Los créditos utilizados no se vuelven a restar.</w:t>
      </w:r>
    </w:p>
    <w:p>
      <w:r>
        <w:t>El aporte público se calcula sobre el recaudo posterior al uso de créditos, no sobre un impuesto supuesto que finalmente no se cobra. Los anticipos se contabilizan una sola vez como parte del precio de los créditos. El programa bloquea ventas duplicadas y aportes sin presupuesto.</w:t>
      </w:r>
    </w:p>
    <w:p>
      <w:pPr>
        <w:pStyle w:val="Heading2"/>
      </w:pPr>
      <w:r>
        <w:t>Ejemplo de financiación</w:t>
      </w:r>
    </w:p>
    <w:p>
      <w:r>
        <w:t>Un proyecto cuesta USD 1.000. El Estado aporta USD 500. La fundación reúne USD 500 propios, que pueden incluir un anticipo privado. Si una empresa adelantó USD 180 por diez créditos a USD 18, al verificarse la entrega no paga esos diez otra vez. El Estado no recibe créditos por su aporte.</w:t>
      </w:r>
    </w:p>
    <w:p>
      <w:r>
        <w:br w:type="page"/>
      </w:r>
    </w:p>
    <w:p>
      <w:pPr>
        <w:pStyle w:val="Heading1"/>
      </w:pPr>
      <w:r>
        <w:t>Puntos y condiciones de éxito</w:t>
      </w:r>
    </w:p>
    <w:p>
      <w:r>
        <w:t>Cada rol tiene un máximo de 100 puntos. Logra su objetivo con 70 o más y si el equipo no supera 1.400 tCO₂e acumuladas en cuatro años. Se reconocen logros por rol y pueden ganar varios participantes. Si se supera el límite, se conserva el registro y se declara derrota colectiva; la clase continúa para analizarla.</w:t>
      </w:r>
    </w:p>
    <w:p>
      <w:pPr>
        <w:pStyle w:val="Heading2"/>
      </w:pPr>
      <w:r>
        <w:t>Empresas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616"/>
      </w:tblGrid>
      <w:tr>
        <w:trPr>
          <w:cantSplit/>
          <w:tblHeader/>
        </w:trPr>
        <w:tc>
          <w:tcPr>
            <w:tcW w:type="dxa" w:w="4464"/>
            <w:vAlign w:val="center"/>
            <w:tcMar>
              <w:top w:w="90" w:type="dxa"/>
              <w:bottom w:w="90" w:type="dxa"/>
              <w:left w:w="105" w:type="dxa"/>
              <w:right w:w="105" w:type="dxa"/>
            </w:tcMar>
            <w:shd w:fill="E7EDF2"/>
          </w:tcPr>
          <w:p>
            <w:pPr>
              <w:spacing w:after="0" w:line="242" w:lineRule="auto"/>
            </w:pPr>
            <w:r>
              <w:rPr>
                <w:b/>
                <w:color w:val="000000"/>
                <w:sz w:val="20"/>
              </w:rPr>
              <w:t>Criterio</w:t>
            </w:r>
          </w:p>
        </w:tc>
        <w:tc>
          <w:tcPr>
            <w:tcW w:type="dxa" w:w="5616"/>
            <w:vAlign w:val="center"/>
            <w:tcMar>
              <w:top w:w="90" w:type="dxa"/>
              <w:bottom w:w="90" w:type="dxa"/>
              <w:left w:w="105" w:type="dxa"/>
              <w:right w:w="105" w:type="dxa"/>
            </w:tcMar>
            <w:shd w:fill="E7EDF2"/>
          </w:tcPr>
          <w:p>
            <w:pPr>
              <w:spacing w:after="0" w:line="242" w:lineRule="auto"/>
            </w:pPr>
            <w:r>
              <w:rPr>
                <w:b/>
                <w:color w:val="000000"/>
                <w:sz w:val="20"/>
              </w:rPr>
              <w:t>Puntos</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Margen acumulado sobre ingresos por ventas</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40 si es ≥ 10 %; 25 si es ≥ 5 % y &lt; 10 %; 10 si hay utilidad positiva y margen &lt; 5 %; 0 si no hay utilidad positiva.</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Créditos retirados respecto a emisiones propias acumuladas</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40 si cubren ≥ 40 %; 30 si cubren ≥ 25 % y &lt; 40 %; 15 si hay uso y cobertura &lt; 25 %; 0 si no se usan.</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Solvencia y liquidación</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20 si termina con caja no negativa y todas sus obligaciones pagadas y registradas; 0 en caso contrario.</w:t>
            </w:r>
          </w:p>
        </w:tc>
      </w:tr>
    </w:tbl>
    <w:p>
      <w:pPr>
        <w:spacing w:after="0" w:line="72" w:lineRule="auto"/>
      </w:pPr>
    </w:p>
    <w:p>
      <w:r>
        <w:t>Para comparar márgenes, el programa usa la utilidad total dividida por los ingresos totales; no promedia los porcentajes anuales. Los puntos por créditos representan un objetivo didáctico adicional y no equivalen a una reducción de las emisiones propias.</w:t>
      </w:r>
    </w:p>
    <w:p>
      <w:pPr>
        <w:pStyle w:val="Heading2"/>
      </w:pPr>
      <w:r>
        <w:t>Fundaciones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616"/>
      </w:tblGrid>
      <w:tr>
        <w:trPr>
          <w:cantSplit/>
          <w:tblHeader/>
        </w:trPr>
        <w:tc>
          <w:tcPr>
            <w:tcW w:type="dxa" w:w="4464"/>
            <w:vAlign w:val="center"/>
            <w:tcMar>
              <w:top w:w="90" w:type="dxa"/>
              <w:bottom w:w="90" w:type="dxa"/>
              <w:left w:w="105" w:type="dxa"/>
              <w:right w:w="105" w:type="dxa"/>
            </w:tcMar>
            <w:shd w:fill="E7EDF2"/>
          </w:tcPr>
          <w:p>
            <w:pPr>
              <w:spacing w:after="0" w:line="242" w:lineRule="auto"/>
            </w:pPr>
            <w:r>
              <w:rPr>
                <w:b/>
                <w:color w:val="000000"/>
                <w:sz w:val="20"/>
              </w:rPr>
              <w:t>Criterio</w:t>
            </w:r>
          </w:p>
        </w:tc>
        <w:tc>
          <w:tcPr>
            <w:tcW w:type="dxa" w:w="5616"/>
            <w:vAlign w:val="center"/>
            <w:tcMar>
              <w:top w:w="90" w:type="dxa"/>
              <w:bottom w:w="90" w:type="dxa"/>
              <w:left w:w="105" w:type="dxa"/>
              <w:right w:w="105" w:type="dxa"/>
            </w:tcMar>
            <w:shd w:fill="E7EDF2"/>
          </w:tcPr>
          <w:p>
            <w:pPr>
              <w:spacing w:after="0" w:line="242" w:lineRule="auto"/>
            </w:pPr>
            <w:r>
              <w:rPr>
                <w:b/>
                <w:color w:val="000000"/>
                <w:sz w:val="20"/>
              </w:rPr>
              <w:t>Puntos</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Reducciones acumuladas verificadas</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40 por ≥ 200 tCO₂e; 25 por ≥ 100 y &lt; 200; 10 por &gt; 0 y &lt; 100; 0 sin reducciones.</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Créditos vendidos respecto a créditos emitidos</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30 por vender ≥ 70 %; 20 por ≥ 40 % y &lt; 70 %; 10 por &gt; 0 y &lt; 40 %; 0 sin ventas.</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Caja y contratos</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30 si termina con al menos USD 1.000 y contratos liquidados; 15 si tiene caja no negativa inferior a USD 1.000 y contratos liquidados; 0 en otro caso.</w:t>
            </w:r>
          </w:p>
        </w:tc>
      </w:tr>
    </w:tbl>
    <w:p>
      <w:pPr>
        <w:spacing w:after="0" w:line="72" w:lineRule="auto"/>
      </w:pPr>
    </w:p>
    <w:p>
      <w:pPr>
        <w:pStyle w:val="Heading2"/>
      </w:pPr>
      <w:r>
        <w:t>Estado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616"/>
      </w:tblGrid>
      <w:tr>
        <w:trPr>
          <w:cantSplit/>
          <w:tblHeader/>
        </w:trPr>
        <w:tc>
          <w:tcPr>
            <w:tcW w:type="dxa" w:w="4464"/>
            <w:vAlign w:val="center"/>
            <w:tcMar>
              <w:top w:w="90" w:type="dxa"/>
              <w:bottom w:w="90" w:type="dxa"/>
              <w:left w:w="105" w:type="dxa"/>
              <w:right w:w="105" w:type="dxa"/>
            </w:tcMar>
            <w:shd w:fill="E7EDF2"/>
          </w:tcPr>
          <w:p>
            <w:pPr>
              <w:spacing w:after="0" w:line="242" w:lineRule="auto"/>
            </w:pPr>
            <w:r>
              <w:rPr>
                <w:b/>
                <w:color w:val="000000"/>
                <w:sz w:val="20"/>
              </w:rPr>
              <w:t>Criterio</w:t>
            </w:r>
          </w:p>
        </w:tc>
        <w:tc>
          <w:tcPr>
            <w:tcW w:type="dxa" w:w="5616"/>
            <w:vAlign w:val="center"/>
            <w:tcMar>
              <w:top w:w="90" w:type="dxa"/>
              <w:bottom w:w="90" w:type="dxa"/>
              <w:left w:w="105" w:type="dxa"/>
              <w:right w:w="105" w:type="dxa"/>
            </w:tcMar>
            <w:shd w:fill="E7EDF2"/>
          </w:tcPr>
          <w:p>
            <w:pPr>
              <w:spacing w:after="0" w:line="242" w:lineRule="auto"/>
            </w:pPr>
            <w:r>
              <w:rPr>
                <w:b/>
                <w:color w:val="000000"/>
                <w:sz w:val="20"/>
              </w:rPr>
              <w:t>Puntos</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Ambiente</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30 si se cumple el límite de 1.400 tCO₂e.</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Producción</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20 si el equipo produce al menos 1.800 t acumuladas.</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Financiación transparente</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20 por respetar la reserva del 30 % y el tope de aporte; 10 por publicar el criterio común y los convenios.</w:t>
            </w:r>
          </w:p>
        </w:tc>
      </w:tr>
      <w:tr>
        <w:trPr>
          <w:cantSplit/>
        </w:trPr>
        <w:tc>
          <w:tcPr>
            <w:tcW w:type="dxa" w:w="4464"/>
            <w:vAlign w:val="center"/>
            <w:tcMar>
              <w:top w:w="90" w:type="dxa"/>
              <w:bottom w:w="90" w:type="dxa"/>
              <w:left w:w="105" w:type="dxa"/>
              <w:right w:w="105" w:type="dxa"/>
            </w:tcMar>
            <w:shd w:fill="FFFFFF"/>
          </w:tcPr>
          <w:p>
            <w:pPr>
              <w:spacing w:after="0" w:line="242" w:lineRule="auto"/>
            </w:pPr>
            <w:r>
              <w:rPr>
                <w:b w:val="0"/>
                <w:color w:val="000000"/>
                <w:sz w:val="20"/>
              </w:rPr>
              <w:t>Valoración de los otros cinco roles</w:t>
            </w:r>
          </w:p>
        </w:tc>
        <w:tc>
          <w:tcPr>
            <w:tcW w:type="dxa" w:w="5616"/>
            <w:vAlign w:val="center"/>
            <w:tcMar>
              <w:top w:w="90" w:type="dxa"/>
              <w:bottom w:w="90" w:type="dxa"/>
              <w:left w:w="105" w:type="dxa"/>
              <w:right w:w="105" w:type="dxa"/>
            </w:tcMar>
            <w:shd w:fill="FFFFFF"/>
          </w:tcPr>
          <w:p>
            <w:pPr>
              <w:spacing w:after="0" w:line="242" w:lineRule="auto"/>
            </w:pPr>
            <w:r>
              <w:rPr>
                <w:b w:val="0"/>
                <w:color w:val="000000"/>
                <w:sz w:val="20"/>
              </w:rPr>
              <w:t>De 0 a 20 según sus veinte votos durante cuatro rondas.</w:t>
            </w:r>
          </w:p>
        </w:tc>
      </w:tr>
    </w:tbl>
    <w:p>
      <w:pPr>
        <w:spacing w:after="0" w:line="72" w:lineRule="auto"/>
      </w:pPr>
    </w:p>
    <w:p>
      <w:r>
        <w:t>Todos los puntos se muestran con el criterio que los originó. No se otorgan puntos extra por ocupar el Estado ni se compara la utilidad de una empresa con el presupuesto público.</w:t>
      </w:r>
    </w:p>
    <w:p>
      <w:r>
        <w:br w:type="page"/>
      </w:r>
    </w:p>
    <w:p>
      <w:pPr>
        <w:pStyle w:val="Heading1"/>
      </w:pPr>
      <w:r>
        <w:t>Valoraciones al Estado y conducción pedagógica</w:t>
      </w:r>
    </w:p>
    <w:p>
      <w:pPr>
        <w:pStyle w:val="Heading2"/>
      </w:pPr>
      <w:r>
        <w:t>Cómo funcionan los votos</w:t>
      </w:r>
    </w:p>
    <w:p>
      <w:r>
        <w:t>Al cierre de cada ronda, las tres empresas y las dos fundaciones emiten un voto reservado: +1, 0 o −1, con una razón sobre claridad, coherencia o transparencia de la gestión. Se registra antes de que el Estado responda. Un voto negativo no se elimina por resultar incómodo ni modifica la tarifa de la ronda cerrada.</w:t>
      </w:r>
    </w:p>
    <w:p>
      <w:r>
        <w:t>Los veinte votos posibles suman V, entre −20 y +20. El programa asigna 10 + V/2 puntos de valoración al Estado: todos negativos dan 0; una suma neutral da 10; todos positivos dan 20. Los otros 80 puntos dependen de resultados y reglas, lo que limita el efecto de represalias o acuerdos de popularidad.</w:t>
      </w:r>
    </w:p>
    <w:p>
      <w:pPr>
        <w:pStyle w:val="Heading2"/>
      </w:pPr>
      <w:r>
        <w:t>Sesión sugerida de noventa minutos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152"/>
        <w:gridCol w:w="5760"/>
      </w:tblGrid>
      <w:tr>
        <w:trPr>
          <w:cantSplit/>
          <w:tblHeader/>
        </w:trPr>
        <w:tc>
          <w:tcPr>
            <w:tcW w:type="dxa" w:w="3168"/>
            <w:vAlign w:val="center"/>
            <w:tcMar>
              <w:top w:w="90" w:type="dxa"/>
              <w:bottom w:w="90" w:type="dxa"/>
              <w:left w:w="105" w:type="dxa"/>
              <w:right w:w="105" w:type="dxa"/>
            </w:tcMar>
            <w:shd w:fill="E7EDF2"/>
          </w:tcPr>
          <w:p>
            <w:pPr>
              <w:spacing w:after="0" w:line="242" w:lineRule="auto"/>
            </w:pPr>
            <w:r>
              <w:rPr>
                <w:b/>
                <w:color w:val="000000"/>
                <w:sz w:val="20"/>
              </w:rPr>
              <w:t>Actividad</w:t>
            </w:r>
          </w:p>
        </w:tc>
        <w:tc>
          <w:tcPr>
            <w:tcW w:type="dxa" w:w="1152"/>
            <w:vAlign w:val="center"/>
            <w:tcMar>
              <w:top w:w="90" w:type="dxa"/>
              <w:bottom w:w="90" w:type="dxa"/>
              <w:left w:w="105" w:type="dxa"/>
              <w:right w:w="105" w:type="dxa"/>
            </w:tcMar>
            <w:shd w:fill="E7EDF2"/>
          </w:tcPr>
          <w:p>
            <w:pPr>
              <w:spacing w:after="0" w:line="242" w:lineRule="auto"/>
              <w:jc w:val="center"/>
            </w:pPr>
            <w:r>
              <w:rPr>
                <w:b/>
                <w:color w:val="000000"/>
                <w:sz w:val="20"/>
              </w:rPr>
              <w:t>Minutos</w:t>
            </w:r>
          </w:p>
        </w:tc>
        <w:tc>
          <w:tcPr>
            <w:tcW w:type="dxa" w:w="5760"/>
            <w:vAlign w:val="center"/>
            <w:tcMar>
              <w:top w:w="90" w:type="dxa"/>
              <w:bottom w:w="90" w:type="dxa"/>
              <w:left w:w="105" w:type="dxa"/>
              <w:right w:w="105" w:type="dxa"/>
            </w:tcMar>
            <w:shd w:fill="E7EDF2"/>
          </w:tcPr>
          <w:p>
            <w:pPr>
              <w:spacing w:after="0" w:line="242" w:lineRule="auto"/>
            </w:pPr>
            <w:r>
              <w:rPr>
                <w:b/>
                <w:color w:val="000000"/>
                <w:sz w:val="20"/>
              </w:rPr>
              <w:t>Propósito</w:t>
            </w:r>
          </w:p>
        </w:tc>
      </w:tr>
      <w:tr>
        <w:trPr>
          <w:cantSplit/>
        </w:trPr>
        <w:tc>
          <w:tcPr>
            <w:tcW w:type="dxa" w:w="3168"/>
            <w:vAlign w:val="center"/>
            <w:tcMar>
              <w:top w:w="90" w:type="dxa"/>
              <w:bottom w:w="90" w:type="dxa"/>
              <w:left w:w="105" w:type="dxa"/>
              <w:right w:w="105" w:type="dxa"/>
            </w:tcMar>
            <w:shd w:fill="FFFFFF"/>
          </w:tcPr>
          <w:p>
            <w:pPr>
              <w:spacing w:after="0" w:line="242" w:lineRule="auto"/>
            </w:pPr>
            <w:r>
              <w:rPr>
                <w:b w:val="0"/>
                <w:color w:val="000000"/>
                <w:sz w:val="20"/>
              </w:rPr>
              <w:t>Presentación y reparto</w:t>
            </w:r>
          </w:p>
        </w:tc>
        <w:tc>
          <w:tcPr>
            <w:tcW w:type="dxa" w:w="1152"/>
            <w:vAlign w:val="center"/>
            <w:tcMar>
              <w:top w:w="90" w:type="dxa"/>
              <w:bottom w:w="90" w:type="dxa"/>
              <w:left w:w="105" w:type="dxa"/>
              <w:right w:w="105" w:type="dxa"/>
            </w:tcMar>
            <w:shd w:fill="FFFFFF"/>
          </w:tcPr>
          <w:p>
            <w:pPr>
              <w:spacing w:after="0" w:line="242" w:lineRule="auto"/>
              <w:jc w:val="center"/>
            </w:pPr>
            <w:r>
              <w:rPr>
                <w:b w:val="0"/>
                <w:color w:val="000000"/>
                <w:sz w:val="20"/>
              </w:rPr>
              <w:t>12</w:t>
            </w:r>
          </w:p>
        </w:tc>
        <w:tc>
          <w:tcPr>
            <w:tcW w:type="dxa" w:w="5760"/>
            <w:vAlign w:val="center"/>
            <w:tcMar>
              <w:top w:w="90" w:type="dxa"/>
              <w:bottom w:w="90" w:type="dxa"/>
              <w:left w:w="105" w:type="dxa"/>
              <w:right w:w="105" w:type="dxa"/>
            </w:tcMar>
            <w:shd w:fill="FFFFFF"/>
          </w:tcPr>
          <w:p>
            <w:pPr>
              <w:spacing w:after="0" w:line="242" w:lineRule="auto"/>
            </w:pPr>
            <w:r>
              <w:rPr>
                <w:b w:val="0"/>
                <w:color w:val="000000"/>
                <w:sz w:val="20"/>
              </w:rPr>
              <w:t>Contexto, objetivos y fichas públicas.</w:t>
            </w:r>
          </w:p>
        </w:tc>
      </w:tr>
      <w:tr>
        <w:trPr>
          <w:cantSplit/>
        </w:trPr>
        <w:tc>
          <w:tcPr>
            <w:tcW w:type="dxa" w:w="3168"/>
            <w:vAlign w:val="center"/>
            <w:tcMar>
              <w:top w:w="90" w:type="dxa"/>
              <w:bottom w:w="90" w:type="dxa"/>
              <w:left w:w="105" w:type="dxa"/>
              <w:right w:w="105" w:type="dxa"/>
            </w:tcMar>
            <w:shd w:fill="FFFFFF"/>
          </w:tcPr>
          <w:p>
            <w:pPr>
              <w:spacing w:after="0" w:line="242" w:lineRule="auto"/>
            </w:pPr>
            <w:r>
              <w:rPr>
                <w:b w:val="0"/>
                <w:color w:val="000000"/>
                <w:sz w:val="20"/>
              </w:rPr>
              <w:t>Ensayo sin puntos</w:t>
            </w:r>
          </w:p>
        </w:tc>
        <w:tc>
          <w:tcPr>
            <w:tcW w:type="dxa" w:w="1152"/>
            <w:vAlign w:val="center"/>
            <w:tcMar>
              <w:top w:w="90" w:type="dxa"/>
              <w:bottom w:w="90" w:type="dxa"/>
              <w:left w:w="105" w:type="dxa"/>
              <w:right w:w="105" w:type="dxa"/>
            </w:tcMar>
            <w:shd w:fill="FFFFFF"/>
          </w:tcPr>
          <w:p>
            <w:pPr>
              <w:spacing w:after="0" w:line="242" w:lineRule="auto"/>
              <w:jc w:val="center"/>
            </w:pPr>
            <w:r>
              <w:rPr>
                <w:b w:val="0"/>
                <w:color w:val="000000"/>
                <w:sz w:val="20"/>
              </w:rPr>
              <w:t>8</w:t>
            </w:r>
          </w:p>
        </w:tc>
        <w:tc>
          <w:tcPr>
            <w:tcW w:type="dxa" w:w="5760"/>
            <w:vAlign w:val="center"/>
            <w:tcMar>
              <w:top w:w="90" w:type="dxa"/>
              <w:bottom w:w="90" w:type="dxa"/>
              <w:left w:w="105" w:type="dxa"/>
              <w:right w:w="105" w:type="dxa"/>
            </w:tcMar>
            <w:shd w:fill="FFFFFF"/>
          </w:tcPr>
          <w:p>
            <w:pPr>
              <w:spacing w:after="0" w:line="242" w:lineRule="auto"/>
            </w:pPr>
            <w:r>
              <w:rPr>
                <w:b w:val="0"/>
                <w:color w:val="000000"/>
                <w:sz w:val="20"/>
              </w:rPr>
              <w:t>Una compra, un anticipo y un cálculo fiscal.</w:t>
            </w:r>
          </w:p>
        </w:tc>
      </w:tr>
      <w:tr>
        <w:trPr>
          <w:cantSplit/>
        </w:trPr>
        <w:tc>
          <w:tcPr>
            <w:tcW w:type="dxa" w:w="3168"/>
            <w:vAlign w:val="center"/>
            <w:tcMar>
              <w:top w:w="90" w:type="dxa"/>
              <w:bottom w:w="90" w:type="dxa"/>
              <w:left w:w="105" w:type="dxa"/>
              <w:right w:w="105" w:type="dxa"/>
            </w:tcMar>
            <w:shd w:fill="FFFFFF"/>
          </w:tcPr>
          <w:p>
            <w:pPr>
              <w:spacing w:after="0" w:line="242" w:lineRule="auto"/>
            </w:pPr>
            <w:r>
              <w:rPr>
                <w:b w:val="0"/>
                <w:color w:val="000000"/>
                <w:sz w:val="20"/>
              </w:rPr>
              <w:t>Cuatro rondas</w:t>
            </w:r>
          </w:p>
        </w:tc>
        <w:tc>
          <w:tcPr>
            <w:tcW w:type="dxa" w:w="1152"/>
            <w:vAlign w:val="center"/>
            <w:tcMar>
              <w:top w:w="90" w:type="dxa"/>
              <w:bottom w:w="90" w:type="dxa"/>
              <w:left w:w="105" w:type="dxa"/>
              <w:right w:w="105" w:type="dxa"/>
            </w:tcMar>
            <w:shd w:fill="FFFFFF"/>
          </w:tcPr>
          <w:p>
            <w:pPr>
              <w:spacing w:after="0" w:line="242" w:lineRule="auto"/>
              <w:jc w:val="center"/>
            </w:pPr>
            <w:r>
              <w:rPr>
                <w:b w:val="0"/>
                <w:color w:val="000000"/>
                <w:sz w:val="20"/>
              </w:rPr>
              <w:t>48</w:t>
            </w:r>
          </w:p>
        </w:tc>
        <w:tc>
          <w:tcPr>
            <w:tcW w:type="dxa" w:w="5760"/>
            <w:vAlign w:val="center"/>
            <w:tcMar>
              <w:top w:w="90" w:type="dxa"/>
              <w:bottom w:w="90" w:type="dxa"/>
              <w:left w:w="105" w:type="dxa"/>
              <w:right w:w="105" w:type="dxa"/>
            </w:tcMar>
            <w:shd w:fill="FFFFFF"/>
          </w:tcPr>
          <w:p>
            <w:pPr>
              <w:spacing w:after="0" w:line="242" w:lineRule="auto"/>
            </w:pPr>
            <w:r>
              <w:rPr>
                <w:b w:val="0"/>
                <w:color w:val="000000"/>
                <w:sz w:val="20"/>
              </w:rPr>
              <w:t>Doce minutos por ronda para decidir y negociar.</w:t>
            </w:r>
          </w:p>
        </w:tc>
      </w:tr>
      <w:tr>
        <w:trPr>
          <w:cantSplit/>
        </w:trPr>
        <w:tc>
          <w:tcPr>
            <w:tcW w:type="dxa" w:w="3168"/>
            <w:vAlign w:val="center"/>
            <w:tcMar>
              <w:top w:w="90" w:type="dxa"/>
              <w:bottom w:w="90" w:type="dxa"/>
              <w:left w:w="105" w:type="dxa"/>
              <w:right w:w="105" w:type="dxa"/>
            </w:tcMar>
            <w:shd w:fill="FFFFFF"/>
          </w:tcPr>
          <w:p>
            <w:pPr>
              <w:spacing w:after="0" w:line="242" w:lineRule="auto"/>
            </w:pPr>
            <w:r>
              <w:rPr>
                <w:b w:val="0"/>
                <w:color w:val="000000"/>
                <w:sz w:val="20"/>
              </w:rPr>
              <w:t>Comparación y discusión</w:t>
            </w:r>
          </w:p>
        </w:tc>
        <w:tc>
          <w:tcPr>
            <w:tcW w:type="dxa" w:w="1152"/>
            <w:vAlign w:val="center"/>
            <w:tcMar>
              <w:top w:w="90" w:type="dxa"/>
              <w:bottom w:w="90" w:type="dxa"/>
              <w:left w:w="105" w:type="dxa"/>
              <w:right w:w="105" w:type="dxa"/>
            </w:tcMar>
            <w:shd w:fill="FFFFFF"/>
          </w:tcPr>
          <w:p>
            <w:pPr>
              <w:spacing w:after="0" w:line="242" w:lineRule="auto"/>
              <w:jc w:val="center"/>
            </w:pPr>
            <w:r>
              <w:rPr>
                <w:b w:val="0"/>
                <w:color w:val="000000"/>
                <w:sz w:val="20"/>
              </w:rPr>
              <w:t>17</w:t>
            </w:r>
          </w:p>
        </w:tc>
        <w:tc>
          <w:tcPr>
            <w:tcW w:type="dxa" w:w="5760"/>
            <w:vAlign w:val="center"/>
            <w:tcMar>
              <w:top w:w="90" w:type="dxa"/>
              <w:bottom w:w="90" w:type="dxa"/>
              <w:left w:w="105" w:type="dxa"/>
              <w:right w:w="105" w:type="dxa"/>
            </w:tcMar>
            <w:shd w:fill="FFFFFF"/>
          </w:tcPr>
          <w:p>
            <w:pPr>
              <w:spacing w:after="0" w:line="242" w:lineRule="auto"/>
            </w:pPr>
            <w:r>
              <w:rPr>
                <w:b w:val="0"/>
                <w:color w:val="000000"/>
                <w:sz w:val="20"/>
              </w:rPr>
              <w:t>Explicar diferencias entre las cinco economías.</w:t>
            </w:r>
          </w:p>
        </w:tc>
      </w:tr>
      <w:tr>
        <w:trPr>
          <w:cantSplit/>
        </w:trPr>
        <w:tc>
          <w:tcPr>
            <w:tcW w:type="dxa" w:w="3168"/>
            <w:vAlign w:val="center"/>
            <w:tcMar>
              <w:top w:w="90" w:type="dxa"/>
              <w:bottom w:w="90" w:type="dxa"/>
              <w:left w:w="105" w:type="dxa"/>
              <w:right w:w="105" w:type="dxa"/>
            </w:tcMar>
            <w:shd w:fill="FFFFFF"/>
          </w:tcPr>
          <w:p>
            <w:pPr>
              <w:spacing w:after="0" w:line="242" w:lineRule="auto"/>
            </w:pPr>
            <w:r>
              <w:rPr>
                <w:b w:val="0"/>
                <w:color w:val="000000"/>
                <w:sz w:val="20"/>
              </w:rPr>
              <w:t>Salida individual</w:t>
            </w:r>
          </w:p>
        </w:tc>
        <w:tc>
          <w:tcPr>
            <w:tcW w:type="dxa" w:w="1152"/>
            <w:vAlign w:val="center"/>
            <w:tcMar>
              <w:top w:w="90" w:type="dxa"/>
              <w:bottom w:w="90" w:type="dxa"/>
              <w:left w:w="105" w:type="dxa"/>
              <w:right w:w="105" w:type="dxa"/>
            </w:tcMar>
            <w:shd w:fill="FFFFFF"/>
          </w:tcPr>
          <w:p>
            <w:pPr>
              <w:spacing w:after="0" w:line="242" w:lineRule="auto"/>
              <w:jc w:val="center"/>
            </w:pPr>
            <w:r>
              <w:rPr>
                <w:b w:val="0"/>
                <w:color w:val="000000"/>
                <w:sz w:val="20"/>
              </w:rPr>
              <w:t>5</w:t>
            </w:r>
          </w:p>
        </w:tc>
        <w:tc>
          <w:tcPr>
            <w:tcW w:type="dxa" w:w="5760"/>
            <w:vAlign w:val="center"/>
            <w:tcMar>
              <w:top w:w="90" w:type="dxa"/>
              <w:bottom w:w="90" w:type="dxa"/>
              <w:left w:w="105" w:type="dxa"/>
              <w:right w:w="105" w:type="dxa"/>
            </w:tcMar>
            <w:shd w:fill="FFFFFF"/>
          </w:tcPr>
          <w:p>
            <w:pPr>
              <w:spacing w:after="0" w:line="242" w:lineRule="auto"/>
            </w:pPr>
            <w:r>
              <w:rPr>
                <w:b w:val="0"/>
                <w:color w:val="000000"/>
                <w:sz w:val="20"/>
              </w:rPr>
              <w:t>Reconstruir una decisión y sus consecuencias.</w:t>
            </w:r>
          </w:p>
        </w:tc>
      </w:tr>
    </w:tbl>
    <w:p>
      <w:pPr>
        <w:spacing w:after="0" w:line="72" w:lineRule="auto"/>
      </w:pPr>
    </w:p>
    <w:p>
      <w:r>
        <w:t>Todos reciben el mismo catálogo, bandas y reglas de puntos. Cada estudiante registra y confirma las decisiones de su rol. Se puede usar un computador por equipo, con turnos de entrada; la negociación ocurre entre personas. El docente interviene para aclarar procedimientos, sin sugerir quién debe comprar o qué tarifa debe elegirse.</w:t>
      </w:r>
    </w:p>
    <w:p>
      <w:pPr>
        <w:pStyle w:val="Heading2"/>
      </w:pPr>
      <w:r>
        <w:t>Preguntas para el cierre</w:t>
      </w:r>
    </w:p>
    <w:p>
      <w:pPr>
        <w:pStyle w:val="ListBullet"/>
      </w:pPr>
      <w:r>
        <w:t>¿Qué diferencia hubo entre ejecutar un proyecto, financiarlo, emitir un crédito y utilizarlo?</w:t>
      </w:r>
    </w:p>
    <w:p>
      <w:pPr>
        <w:pStyle w:val="ListBullet"/>
      </w:pPr>
      <w:r>
        <w:t>¿Cuándo el precio del crédito hizo conveniente comprarlo? ¿Cómo influyó el límite fiscal del 50 %?</w:t>
      </w:r>
    </w:p>
    <w:p>
      <w:pPr>
        <w:pStyle w:val="ListBullet"/>
      </w:pPr>
      <w:r>
        <w:t>¿Por qué aumentar el impuesto puede reducir el recaudo o generar desacuerdo?</w:t>
      </w:r>
    </w:p>
    <w:p>
      <w:pPr>
        <w:pStyle w:val="ListBullet"/>
      </w:pPr>
      <w:r>
        <w:t>¿Qué cambió cuando aparecieron créditos sin compradores?</w:t>
      </w:r>
    </w:p>
    <w:p>
      <w:pPr>
        <w:pStyle w:val="ListBullet"/>
      </w:pPr>
      <w:r>
        <w:t>¿Cómo difieren las emisiones reales, la base gravada y los puntos?</w:t>
      </w:r>
    </w:p>
    <w:p>
      <w:pPr>
        <w:pStyle w:val="Heading2"/>
      </w:pPr>
      <w:r>
        <w:t>Evaluación del aprendizaje</w:t>
      </w:r>
    </w:p>
    <w:p>
      <w:r>
        <w:t>La nota académica se basa en precisión conceptual, uso de resultados para justificar una decisión, participación en la negociación y capacidad de proponer una mejora. Los puntos y la victoria del juego no se convierten automáticamente en una nota: una partida perdedora puede producir una explicación económica sólida.</w:t>
      </w:r>
    </w:p>
    <w:p>
      <w:r>
        <w:br w:type="page"/>
      </w:r>
    </w:p>
    <w:p>
      <w:pPr>
        <w:pStyle w:val="Heading1"/>
      </w:pPr>
      <w:r>
        <w:t>Partida comprobada y ajustes para el piloto</w:t>
      </w:r>
    </w:p>
    <w:p>
      <w:r>
        <w:t>La conversación guiada usa las mismas reglas y cifras de esta guía. Los cálculos comprueban los límites de créditos, la disponibilidad del fondo, el pago único de los anticipos y los balances de caja. El recorrido muestra un resultado posible, no una predicción del comportamiento de la clase.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12"/>
        <w:gridCol w:w="1800"/>
        <w:gridCol w:w="1584"/>
        <w:gridCol w:w="1728"/>
        <w:gridCol w:w="2808"/>
      </w:tblGrid>
      <w:tr>
        <w:trPr>
          <w:cantSplit/>
          <w:tblHeader/>
        </w:trPr>
        <w:tc>
          <w:tcPr>
            <w:tcW w:type="dxa" w:w="648"/>
            <w:vAlign w:val="center"/>
            <w:tcMar>
              <w:top w:w="90" w:type="dxa"/>
              <w:bottom w:w="90" w:type="dxa"/>
              <w:left w:w="105" w:type="dxa"/>
              <w:right w:w="105" w:type="dxa"/>
            </w:tcMar>
            <w:shd w:fill="E7EDF2"/>
          </w:tcPr>
          <w:p>
            <w:pPr>
              <w:spacing w:after="0" w:line="242" w:lineRule="auto"/>
            </w:pPr>
            <w:r>
              <w:rPr>
                <w:b/>
                <w:color w:val="000000"/>
                <w:sz w:val="20"/>
              </w:rPr>
              <w:t>Año</w:t>
            </w:r>
          </w:p>
        </w:tc>
        <w:tc>
          <w:tcPr>
            <w:tcW w:type="dxa" w:w="1512"/>
            <w:vAlign w:val="center"/>
            <w:tcMar>
              <w:top w:w="90" w:type="dxa"/>
              <w:bottom w:w="90" w:type="dxa"/>
              <w:left w:w="105" w:type="dxa"/>
              <w:right w:w="105" w:type="dxa"/>
            </w:tcMar>
            <w:shd w:fill="E7EDF2"/>
          </w:tcPr>
          <w:p>
            <w:pPr>
              <w:spacing w:after="0" w:line="242" w:lineRule="auto"/>
              <w:jc w:val="center"/>
            </w:pPr>
            <w:r>
              <w:rPr>
                <w:b/>
                <w:color w:val="000000"/>
                <w:sz w:val="20"/>
              </w:rPr>
              <w:t>Tarifa USD/t</w:t>
            </w:r>
          </w:p>
        </w:tc>
        <w:tc>
          <w:tcPr>
            <w:tcW w:type="dxa" w:w="1800"/>
            <w:vAlign w:val="center"/>
            <w:tcMar>
              <w:top w:w="90" w:type="dxa"/>
              <w:bottom w:w="90" w:type="dxa"/>
              <w:left w:w="105" w:type="dxa"/>
              <w:right w:w="105" w:type="dxa"/>
            </w:tcMar>
            <w:shd w:fill="E7EDF2"/>
          </w:tcPr>
          <w:p>
            <w:pPr>
              <w:spacing w:after="0" w:line="242" w:lineRule="auto"/>
              <w:jc w:val="center"/>
            </w:pPr>
            <w:r>
              <w:rPr>
                <w:b/>
                <w:color w:val="000000"/>
                <w:sz w:val="20"/>
              </w:rPr>
              <w:t>Créditos emitidos</w:t>
            </w:r>
          </w:p>
        </w:tc>
        <w:tc>
          <w:tcPr>
            <w:tcW w:type="dxa" w:w="1584"/>
            <w:vAlign w:val="center"/>
            <w:tcMar>
              <w:top w:w="90" w:type="dxa"/>
              <w:bottom w:w="90" w:type="dxa"/>
              <w:left w:w="105" w:type="dxa"/>
              <w:right w:w="105" w:type="dxa"/>
            </w:tcMar>
            <w:shd w:fill="E7EDF2"/>
          </w:tcPr>
          <w:p>
            <w:pPr>
              <w:spacing w:after="0" w:line="242" w:lineRule="auto"/>
              <w:jc w:val="center"/>
            </w:pPr>
            <w:r>
              <w:rPr>
                <w:b/>
                <w:color w:val="000000"/>
                <w:sz w:val="20"/>
              </w:rPr>
              <w:t>Créditos usados</w:t>
            </w:r>
          </w:p>
        </w:tc>
        <w:tc>
          <w:tcPr>
            <w:tcW w:type="dxa" w:w="1728"/>
            <w:vAlign w:val="center"/>
            <w:tcMar>
              <w:top w:w="90" w:type="dxa"/>
              <w:bottom w:w="90" w:type="dxa"/>
              <w:left w:w="105" w:type="dxa"/>
              <w:right w:w="105" w:type="dxa"/>
            </w:tcMar>
            <w:shd w:fill="E7EDF2"/>
          </w:tcPr>
          <w:p>
            <w:pPr>
              <w:spacing w:after="0" w:line="242" w:lineRule="auto"/>
              <w:jc w:val="center"/>
            </w:pPr>
            <w:r>
              <w:rPr>
                <w:b/>
                <w:color w:val="000000"/>
                <w:sz w:val="20"/>
              </w:rPr>
              <w:t>Recaudo USD</w:t>
            </w:r>
          </w:p>
        </w:tc>
        <w:tc>
          <w:tcPr>
            <w:tcW w:type="dxa" w:w="2808"/>
            <w:vAlign w:val="center"/>
            <w:tcMar>
              <w:top w:w="90" w:type="dxa"/>
              <w:bottom w:w="90" w:type="dxa"/>
              <w:left w:w="105" w:type="dxa"/>
              <w:right w:w="105" w:type="dxa"/>
            </w:tcMar>
            <w:shd w:fill="E7EDF2"/>
          </w:tcPr>
          <w:p>
            <w:pPr>
              <w:spacing w:after="0" w:line="242" w:lineRule="auto"/>
              <w:jc w:val="center"/>
            </w:pPr>
            <w:r>
              <w:rPr>
                <w:b/>
                <w:color w:val="000000"/>
                <w:sz w:val="20"/>
              </w:rPr>
              <w:t>Emisiones reales tCO₂e</w:t>
            </w:r>
          </w:p>
        </w:tc>
      </w:tr>
      <w:tr>
        <w:trPr>
          <w:cantSplit/>
        </w:trPr>
        <w:tc>
          <w:tcPr>
            <w:tcW w:type="dxa" w:w="648"/>
            <w:vAlign w:val="center"/>
            <w:tcMar>
              <w:top w:w="90" w:type="dxa"/>
              <w:bottom w:w="90" w:type="dxa"/>
              <w:left w:w="105" w:type="dxa"/>
              <w:right w:w="105" w:type="dxa"/>
            </w:tcMar>
            <w:shd w:fill="FFFFFF"/>
          </w:tcPr>
          <w:p>
            <w:pPr>
              <w:spacing w:after="0" w:line="242" w:lineRule="auto"/>
            </w:pPr>
            <w:r>
              <w:rPr>
                <w:b w:val="0"/>
                <w:color w:val="000000"/>
                <w:sz w:val="20"/>
              </w:rPr>
              <w:t>1</w:t>
            </w:r>
          </w:p>
        </w:tc>
        <w:tc>
          <w:tcPr>
            <w:tcW w:type="dxa" w:w="1512"/>
            <w:vAlign w:val="center"/>
            <w:tcMar>
              <w:top w:w="90" w:type="dxa"/>
              <w:bottom w:w="90" w:type="dxa"/>
              <w:left w:w="105" w:type="dxa"/>
              <w:right w:w="105" w:type="dxa"/>
            </w:tcMar>
            <w:shd w:fill="FFFFFF"/>
          </w:tcPr>
          <w:p>
            <w:pPr>
              <w:spacing w:after="0" w:line="242" w:lineRule="auto"/>
              <w:jc w:val="center"/>
            </w:pPr>
            <w:r>
              <w:rPr>
                <w:b w:val="0"/>
                <w:color w:val="000000"/>
                <w:sz w:val="20"/>
              </w:rPr>
              <w:t>20</w:t>
            </w:r>
          </w:p>
        </w:tc>
        <w:tc>
          <w:tcPr>
            <w:tcW w:type="dxa" w:w="1800"/>
            <w:vAlign w:val="center"/>
            <w:tcMar>
              <w:top w:w="90" w:type="dxa"/>
              <w:bottom w:w="90" w:type="dxa"/>
              <w:left w:w="105" w:type="dxa"/>
              <w:right w:w="105" w:type="dxa"/>
            </w:tcMar>
            <w:shd w:fill="FFFFFF"/>
          </w:tcPr>
          <w:p>
            <w:pPr>
              <w:spacing w:after="0" w:line="242" w:lineRule="auto"/>
              <w:jc w:val="center"/>
            </w:pPr>
            <w:r>
              <w:rPr>
                <w:b w:val="0"/>
                <w:color w:val="000000"/>
                <w:sz w:val="20"/>
              </w:rPr>
              <w:t>40</w:t>
            </w:r>
          </w:p>
        </w:tc>
        <w:tc>
          <w:tcPr>
            <w:tcW w:type="dxa" w:w="1584"/>
            <w:vAlign w:val="center"/>
            <w:tcMar>
              <w:top w:w="90" w:type="dxa"/>
              <w:bottom w:w="90" w:type="dxa"/>
              <w:left w:w="105" w:type="dxa"/>
              <w:right w:w="105" w:type="dxa"/>
            </w:tcMar>
            <w:shd w:fill="FFFFFF"/>
          </w:tcPr>
          <w:p>
            <w:pPr>
              <w:spacing w:after="0" w:line="242" w:lineRule="auto"/>
              <w:jc w:val="center"/>
            </w:pPr>
            <w:r>
              <w:rPr>
                <w:b w:val="0"/>
                <w:color w:val="000000"/>
                <w:sz w:val="20"/>
              </w:rPr>
              <w:t>40</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4.100</w:t>
            </w:r>
          </w:p>
        </w:tc>
        <w:tc>
          <w:tcPr>
            <w:tcW w:type="dxa" w:w="2808"/>
            <w:vAlign w:val="center"/>
            <w:tcMar>
              <w:top w:w="90" w:type="dxa"/>
              <w:bottom w:w="90" w:type="dxa"/>
              <w:left w:w="105" w:type="dxa"/>
              <w:right w:w="105" w:type="dxa"/>
            </w:tcMar>
            <w:shd w:fill="FFFFFF"/>
          </w:tcPr>
          <w:p>
            <w:pPr>
              <w:spacing w:after="0" w:line="242" w:lineRule="auto"/>
              <w:jc w:val="center"/>
            </w:pPr>
            <w:r>
              <w:rPr>
                <w:b w:val="0"/>
                <w:color w:val="000000"/>
                <w:sz w:val="20"/>
              </w:rPr>
              <w:t>405</w:t>
            </w:r>
          </w:p>
        </w:tc>
      </w:tr>
      <w:tr>
        <w:trPr>
          <w:cantSplit/>
        </w:trPr>
        <w:tc>
          <w:tcPr>
            <w:tcW w:type="dxa" w:w="648"/>
            <w:vAlign w:val="center"/>
            <w:tcMar>
              <w:top w:w="90" w:type="dxa"/>
              <w:bottom w:w="90" w:type="dxa"/>
              <w:left w:w="105" w:type="dxa"/>
              <w:right w:w="105" w:type="dxa"/>
            </w:tcMar>
            <w:shd w:fill="FFFFFF"/>
          </w:tcPr>
          <w:p>
            <w:pPr>
              <w:spacing w:after="0" w:line="242" w:lineRule="auto"/>
            </w:pPr>
            <w:r>
              <w:rPr>
                <w:b w:val="0"/>
                <w:color w:val="000000"/>
                <w:sz w:val="20"/>
              </w:rPr>
              <w:t>2</w:t>
            </w:r>
          </w:p>
        </w:tc>
        <w:tc>
          <w:tcPr>
            <w:tcW w:type="dxa" w:w="1512"/>
            <w:vAlign w:val="center"/>
            <w:tcMar>
              <w:top w:w="90" w:type="dxa"/>
              <w:bottom w:w="90" w:type="dxa"/>
              <w:left w:w="105" w:type="dxa"/>
              <w:right w:w="105" w:type="dxa"/>
            </w:tcMar>
            <w:shd w:fill="FFFFFF"/>
          </w:tcPr>
          <w:p>
            <w:pPr>
              <w:spacing w:after="0" w:line="242" w:lineRule="auto"/>
              <w:jc w:val="center"/>
            </w:pPr>
            <w:r>
              <w:rPr>
                <w:b w:val="0"/>
                <w:color w:val="000000"/>
                <w:sz w:val="20"/>
              </w:rPr>
              <w:t>25</w:t>
            </w:r>
          </w:p>
        </w:tc>
        <w:tc>
          <w:tcPr>
            <w:tcW w:type="dxa" w:w="1800"/>
            <w:vAlign w:val="center"/>
            <w:tcMar>
              <w:top w:w="90" w:type="dxa"/>
              <w:bottom w:w="90" w:type="dxa"/>
              <w:left w:w="105" w:type="dxa"/>
              <w:right w:w="105" w:type="dxa"/>
            </w:tcMar>
            <w:shd w:fill="FFFFFF"/>
          </w:tcPr>
          <w:p>
            <w:pPr>
              <w:spacing w:after="0" w:line="242" w:lineRule="auto"/>
              <w:jc w:val="center"/>
            </w:pPr>
            <w:r>
              <w:rPr>
                <w:b w:val="0"/>
                <w:color w:val="000000"/>
                <w:sz w:val="20"/>
              </w:rPr>
              <w:t>120</w:t>
            </w:r>
          </w:p>
        </w:tc>
        <w:tc>
          <w:tcPr>
            <w:tcW w:type="dxa" w:w="1584"/>
            <w:vAlign w:val="center"/>
            <w:tcMar>
              <w:top w:w="90" w:type="dxa"/>
              <w:bottom w:w="90" w:type="dxa"/>
              <w:left w:w="105" w:type="dxa"/>
              <w:right w:w="105" w:type="dxa"/>
            </w:tcMar>
            <w:shd w:fill="FFFFFF"/>
          </w:tcPr>
          <w:p>
            <w:pPr>
              <w:spacing w:after="0" w:line="242" w:lineRule="auto"/>
              <w:jc w:val="center"/>
            </w:pPr>
            <w:r>
              <w:rPr>
                <w:b w:val="0"/>
                <w:color w:val="000000"/>
                <w:sz w:val="20"/>
              </w:rPr>
              <w:t>120</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3.750</w:t>
            </w:r>
          </w:p>
        </w:tc>
        <w:tc>
          <w:tcPr>
            <w:tcW w:type="dxa" w:w="2808"/>
            <w:vAlign w:val="center"/>
            <w:tcMar>
              <w:top w:w="90" w:type="dxa"/>
              <w:bottom w:w="90" w:type="dxa"/>
              <w:left w:w="105" w:type="dxa"/>
              <w:right w:w="105" w:type="dxa"/>
            </w:tcMar>
            <w:shd w:fill="FFFFFF"/>
          </w:tcPr>
          <w:p>
            <w:pPr>
              <w:spacing w:after="0" w:line="242" w:lineRule="auto"/>
              <w:jc w:val="center"/>
            </w:pPr>
            <w:r>
              <w:rPr>
                <w:b w:val="0"/>
                <w:color w:val="000000"/>
                <w:sz w:val="20"/>
              </w:rPr>
              <w:t>350</w:t>
            </w:r>
          </w:p>
        </w:tc>
      </w:tr>
      <w:tr>
        <w:trPr>
          <w:cantSplit/>
        </w:trPr>
        <w:tc>
          <w:tcPr>
            <w:tcW w:type="dxa" w:w="648"/>
            <w:vAlign w:val="center"/>
            <w:tcMar>
              <w:top w:w="90" w:type="dxa"/>
              <w:bottom w:w="90" w:type="dxa"/>
              <w:left w:w="105" w:type="dxa"/>
              <w:right w:w="105" w:type="dxa"/>
            </w:tcMar>
            <w:shd w:fill="FFFFFF"/>
          </w:tcPr>
          <w:p>
            <w:pPr>
              <w:spacing w:after="0" w:line="242" w:lineRule="auto"/>
            </w:pPr>
            <w:r>
              <w:rPr>
                <w:b w:val="0"/>
                <w:color w:val="000000"/>
                <w:sz w:val="20"/>
              </w:rPr>
              <w:t>3</w:t>
            </w:r>
          </w:p>
        </w:tc>
        <w:tc>
          <w:tcPr>
            <w:tcW w:type="dxa" w:w="1512"/>
            <w:vAlign w:val="center"/>
            <w:tcMar>
              <w:top w:w="90" w:type="dxa"/>
              <w:bottom w:w="90" w:type="dxa"/>
              <w:left w:w="105" w:type="dxa"/>
              <w:right w:w="105" w:type="dxa"/>
            </w:tcMar>
            <w:shd w:fill="FFFFFF"/>
          </w:tcPr>
          <w:p>
            <w:pPr>
              <w:spacing w:after="0" w:line="242" w:lineRule="auto"/>
              <w:jc w:val="center"/>
            </w:pPr>
            <w:r>
              <w:rPr>
                <w:b w:val="0"/>
                <w:color w:val="000000"/>
                <w:sz w:val="20"/>
              </w:rPr>
              <w:t>30</w:t>
            </w:r>
          </w:p>
        </w:tc>
        <w:tc>
          <w:tcPr>
            <w:tcW w:type="dxa" w:w="1800"/>
            <w:vAlign w:val="center"/>
            <w:tcMar>
              <w:top w:w="90" w:type="dxa"/>
              <w:bottom w:w="90" w:type="dxa"/>
              <w:left w:w="105" w:type="dxa"/>
              <w:right w:w="105" w:type="dxa"/>
            </w:tcMar>
            <w:shd w:fill="FFFFFF"/>
          </w:tcPr>
          <w:p>
            <w:pPr>
              <w:spacing w:after="0" w:line="242" w:lineRule="auto"/>
              <w:jc w:val="center"/>
            </w:pPr>
            <w:r>
              <w:rPr>
                <w:b w:val="0"/>
                <w:color w:val="000000"/>
                <w:sz w:val="20"/>
              </w:rPr>
              <w:t>200</w:t>
            </w:r>
          </w:p>
        </w:tc>
        <w:tc>
          <w:tcPr>
            <w:tcW w:type="dxa" w:w="1584"/>
            <w:vAlign w:val="center"/>
            <w:tcMar>
              <w:top w:w="90" w:type="dxa"/>
              <w:bottom w:w="90" w:type="dxa"/>
              <w:left w:w="105" w:type="dxa"/>
              <w:right w:w="105" w:type="dxa"/>
            </w:tcMar>
            <w:shd w:fill="FFFFFF"/>
          </w:tcPr>
          <w:p>
            <w:pPr>
              <w:spacing w:after="0" w:line="242" w:lineRule="auto"/>
              <w:jc w:val="center"/>
            </w:pPr>
            <w:r>
              <w:rPr>
                <w:b w:val="0"/>
                <w:color w:val="000000"/>
                <w:sz w:val="20"/>
              </w:rPr>
              <w:t>150</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4.500</w:t>
            </w:r>
          </w:p>
        </w:tc>
        <w:tc>
          <w:tcPr>
            <w:tcW w:type="dxa" w:w="2808"/>
            <w:vAlign w:val="center"/>
            <w:tcMar>
              <w:top w:w="90" w:type="dxa"/>
              <w:bottom w:w="90" w:type="dxa"/>
              <w:left w:w="105" w:type="dxa"/>
              <w:right w:w="105" w:type="dxa"/>
            </w:tcMar>
            <w:shd w:fill="FFFFFF"/>
          </w:tcPr>
          <w:p>
            <w:pPr>
              <w:spacing w:after="0" w:line="242" w:lineRule="auto"/>
              <w:jc w:val="center"/>
            </w:pPr>
            <w:r>
              <w:rPr>
                <w:b w:val="0"/>
                <w:color w:val="000000"/>
                <w:sz w:val="20"/>
              </w:rPr>
              <w:t>300</w:t>
            </w:r>
          </w:p>
        </w:tc>
      </w:tr>
      <w:tr>
        <w:trPr>
          <w:cantSplit/>
        </w:trPr>
        <w:tc>
          <w:tcPr>
            <w:tcW w:type="dxa" w:w="648"/>
            <w:vAlign w:val="center"/>
            <w:tcMar>
              <w:top w:w="90" w:type="dxa"/>
              <w:bottom w:w="90" w:type="dxa"/>
              <w:left w:w="105" w:type="dxa"/>
              <w:right w:w="105" w:type="dxa"/>
            </w:tcMar>
            <w:shd w:fill="FFFFFF"/>
          </w:tcPr>
          <w:p>
            <w:pPr>
              <w:spacing w:after="0" w:line="242" w:lineRule="auto"/>
            </w:pPr>
            <w:r>
              <w:rPr>
                <w:b w:val="0"/>
                <w:color w:val="000000"/>
                <w:sz w:val="20"/>
              </w:rPr>
              <w:t>4</w:t>
            </w:r>
          </w:p>
        </w:tc>
        <w:tc>
          <w:tcPr>
            <w:tcW w:type="dxa" w:w="1512"/>
            <w:vAlign w:val="center"/>
            <w:tcMar>
              <w:top w:w="90" w:type="dxa"/>
              <w:bottom w:w="90" w:type="dxa"/>
              <w:left w:w="105" w:type="dxa"/>
              <w:right w:w="105" w:type="dxa"/>
            </w:tcMar>
            <w:shd w:fill="FFFFFF"/>
          </w:tcPr>
          <w:p>
            <w:pPr>
              <w:spacing w:after="0" w:line="242" w:lineRule="auto"/>
              <w:jc w:val="center"/>
            </w:pPr>
            <w:r>
              <w:rPr>
                <w:b w:val="0"/>
                <w:color w:val="000000"/>
                <w:sz w:val="20"/>
              </w:rPr>
              <w:t>35</w:t>
            </w:r>
          </w:p>
        </w:tc>
        <w:tc>
          <w:tcPr>
            <w:tcW w:type="dxa" w:w="1800"/>
            <w:vAlign w:val="center"/>
            <w:tcMar>
              <w:top w:w="90" w:type="dxa"/>
              <w:bottom w:w="90" w:type="dxa"/>
              <w:left w:w="105" w:type="dxa"/>
              <w:right w:w="105" w:type="dxa"/>
            </w:tcMar>
            <w:shd w:fill="FFFFFF"/>
          </w:tcPr>
          <w:p>
            <w:pPr>
              <w:spacing w:after="0" w:line="242" w:lineRule="auto"/>
              <w:jc w:val="center"/>
            </w:pPr>
            <w:r>
              <w:rPr>
                <w:b w:val="0"/>
                <w:color w:val="000000"/>
                <w:sz w:val="20"/>
              </w:rPr>
              <w:t>200</w:t>
            </w:r>
          </w:p>
        </w:tc>
        <w:tc>
          <w:tcPr>
            <w:tcW w:type="dxa" w:w="1584"/>
            <w:vAlign w:val="center"/>
            <w:tcMar>
              <w:top w:w="90" w:type="dxa"/>
              <w:bottom w:w="90" w:type="dxa"/>
              <w:left w:w="105" w:type="dxa"/>
              <w:right w:w="105" w:type="dxa"/>
            </w:tcMar>
            <w:shd w:fill="FFFFFF"/>
          </w:tcPr>
          <w:p>
            <w:pPr>
              <w:spacing w:after="0" w:line="242" w:lineRule="auto"/>
              <w:jc w:val="center"/>
            </w:pPr>
            <w:r>
              <w:rPr>
                <w:b w:val="0"/>
                <w:color w:val="000000"/>
                <w:sz w:val="20"/>
              </w:rPr>
              <w:t>140</w:t>
            </w:r>
          </w:p>
        </w:tc>
        <w:tc>
          <w:tcPr>
            <w:tcW w:type="dxa" w:w="1728"/>
            <w:vAlign w:val="center"/>
            <w:tcMar>
              <w:top w:w="90" w:type="dxa"/>
              <w:bottom w:w="90" w:type="dxa"/>
              <w:left w:w="105" w:type="dxa"/>
              <w:right w:w="105" w:type="dxa"/>
            </w:tcMar>
            <w:shd w:fill="FFFFFF"/>
          </w:tcPr>
          <w:p>
            <w:pPr>
              <w:spacing w:after="0" w:line="242" w:lineRule="auto"/>
              <w:jc w:val="center"/>
            </w:pPr>
            <w:r>
              <w:rPr>
                <w:b w:val="0"/>
                <w:color w:val="000000"/>
                <w:sz w:val="20"/>
              </w:rPr>
              <w:t>5.250</w:t>
            </w:r>
          </w:p>
        </w:tc>
        <w:tc>
          <w:tcPr>
            <w:tcW w:type="dxa" w:w="2808"/>
            <w:vAlign w:val="center"/>
            <w:tcMar>
              <w:top w:w="90" w:type="dxa"/>
              <w:bottom w:w="90" w:type="dxa"/>
              <w:left w:w="105" w:type="dxa"/>
              <w:right w:w="105" w:type="dxa"/>
            </w:tcMar>
            <w:shd w:fill="FFFFFF"/>
          </w:tcPr>
          <w:p>
            <w:pPr>
              <w:spacing w:after="0" w:line="242" w:lineRule="auto"/>
              <w:jc w:val="center"/>
            </w:pPr>
            <w:r>
              <w:rPr>
                <w:b w:val="0"/>
                <w:color w:val="000000"/>
                <w:sz w:val="20"/>
              </w:rPr>
              <w:t>290</w:t>
            </w:r>
          </w:p>
        </w:tc>
      </w:tr>
    </w:tbl>
    <w:p>
      <w:pPr>
        <w:spacing w:after="0" w:line="72" w:lineRule="auto"/>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056"/>
        <w:gridCol w:w="1440"/>
      </w:tblGrid>
      <w:tr>
        <w:trPr>
          <w:cantSplit/>
          <w:tblHeader/>
        </w:trPr>
        <w:tc>
          <w:tcPr>
            <w:tcW w:type="dxa" w:w="1584"/>
            <w:vAlign w:val="center"/>
            <w:tcMar>
              <w:top w:w="90" w:type="dxa"/>
              <w:bottom w:w="90" w:type="dxa"/>
              <w:left w:w="105" w:type="dxa"/>
              <w:right w:w="105" w:type="dxa"/>
            </w:tcMar>
            <w:shd w:fill="E7EDF2"/>
          </w:tcPr>
          <w:p>
            <w:pPr>
              <w:spacing w:after="0" w:line="242" w:lineRule="auto"/>
            </w:pPr>
            <w:r>
              <w:rPr>
                <w:b/>
                <w:color w:val="000000"/>
                <w:sz w:val="20"/>
              </w:rPr>
              <w:t>Rol</w:t>
            </w:r>
          </w:p>
        </w:tc>
        <w:tc>
          <w:tcPr>
            <w:tcW w:type="dxa" w:w="7056"/>
            <w:vAlign w:val="center"/>
            <w:tcMar>
              <w:top w:w="90" w:type="dxa"/>
              <w:bottom w:w="90" w:type="dxa"/>
              <w:left w:w="105" w:type="dxa"/>
              <w:right w:w="105" w:type="dxa"/>
            </w:tcMar>
            <w:shd w:fill="E7EDF2"/>
          </w:tcPr>
          <w:p>
            <w:pPr>
              <w:spacing w:after="0" w:line="242" w:lineRule="auto"/>
            </w:pPr>
            <w:r>
              <w:rPr>
                <w:b/>
                <w:color w:val="000000"/>
                <w:sz w:val="20"/>
              </w:rPr>
              <w:t>Resultado acumulado</w:t>
            </w:r>
          </w:p>
        </w:tc>
        <w:tc>
          <w:tcPr>
            <w:tcW w:type="dxa" w:w="1440"/>
            <w:vAlign w:val="center"/>
            <w:tcMar>
              <w:top w:w="90" w:type="dxa"/>
              <w:bottom w:w="90" w:type="dxa"/>
              <w:left w:w="105" w:type="dxa"/>
              <w:right w:w="105" w:type="dxa"/>
            </w:tcMar>
            <w:shd w:fill="E7EDF2"/>
          </w:tcPr>
          <w:p>
            <w:pPr>
              <w:spacing w:after="0" w:line="242" w:lineRule="auto"/>
              <w:jc w:val="center"/>
            </w:pPr>
            <w:r>
              <w:rPr>
                <w:b/>
                <w:color w:val="000000"/>
                <w:sz w:val="20"/>
              </w:rPr>
              <w:t>Puntos</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Empresa A</w:t>
            </w:r>
          </w:p>
        </w:tc>
        <w:tc>
          <w:tcPr>
            <w:tcW w:type="dxa" w:w="7056"/>
            <w:vAlign w:val="center"/>
            <w:tcMar>
              <w:top w:w="90" w:type="dxa"/>
              <w:bottom w:w="90" w:type="dxa"/>
              <w:left w:w="105" w:type="dxa"/>
              <w:right w:w="105" w:type="dxa"/>
            </w:tcMar>
            <w:shd w:fill="FFFFFF"/>
          </w:tcPr>
          <w:p>
            <w:pPr>
              <w:spacing w:after="0" w:line="242" w:lineRule="auto"/>
            </w:pPr>
            <w:r>
              <w:rPr>
                <w:b w:val="0"/>
                <w:color w:val="000000"/>
                <w:sz w:val="20"/>
              </w:rPr>
              <w:t>Utilidad USD 6.610; margen 15,55 %</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100</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Empresa B</w:t>
            </w:r>
          </w:p>
        </w:tc>
        <w:tc>
          <w:tcPr>
            <w:tcW w:type="dxa" w:w="7056"/>
            <w:vAlign w:val="center"/>
            <w:tcMar>
              <w:top w:w="90" w:type="dxa"/>
              <w:bottom w:w="90" w:type="dxa"/>
              <w:left w:w="105" w:type="dxa"/>
              <w:right w:w="105" w:type="dxa"/>
            </w:tcMar>
            <w:shd w:fill="FFFFFF"/>
          </w:tcPr>
          <w:p>
            <w:pPr>
              <w:spacing w:after="0" w:line="242" w:lineRule="auto"/>
            </w:pPr>
            <w:r>
              <w:rPr>
                <w:b w:val="0"/>
                <w:color w:val="000000"/>
                <w:sz w:val="20"/>
              </w:rPr>
              <w:t>Utilidad USD 4.080; margen 10,88 %</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100</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Empresa C</w:t>
            </w:r>
          </w:p>
        </w:tc>
        <w:tc>
          <w:tcPr>
            <w:tcW w:type="dxa" w:w="7056"/>
            <w:vAlign w:val="center"/>
            <w:tcMar>
              <w:top w:w="90" w:type="dxa"/>
              <w:bottom w:w="90" w:type="dxa"/>
              <w:left w:w="105" w:type="dxa"/>
              <w:right w:w="105" w:type="dxa"/>
            </w:tcMar>
            <w:shd w:fill="FFFFFF"/>
          </w:tcPr>
          <w:p>
            <w:pPr>
              <w:spacing w:after="0" w:line="242" w:lineRule="auto"/>
            </w:pPr>
            <w:r>
              <w:rPr>
                <w:b w:val="0"/>
                <w:color w:val="000000"/>
                <w:sz w:val="20"/>
              </w:rPr>
              <w:t>Utilidad USD 1.910; margen 5,88 %</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75</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Fundación 1</w:t>
            </w:r>
          </w:p>
        </w:tc>
        <w:tc>
          <w:tcPr>
            <w:tcW w:type="dxa" w:w="7056"/>
            <w:vAlign w:val="center"/>
            <w:tcMar>
              <w:top w:w="90" w:type="dxa"/>
              <w:bottom w:w="90" w:type="dxa"/>
              <w:left w:w="105" w:type="dxa"/>
              <w:right w:w="105" w:type="dxa"/>
            </w:tcMar>
            <w:shd w:fill="FFFFFF"/>
          </w:tcPr>
          <w:p>
            <w:pPr>
              <w:spacing w:after="0" w:line="242" w:lineRule="auto"/>
            </w:pPr>
            <w:r>
              <w:rPr>
                <w:b w:val="0"/>
                <w:color w:val="000000"/>
                <w:sz w:val="20"/>
              </w:rPr>
              <w:t>280 t verificadas; 225 créditos vendidos; caja USD 3.250</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100</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Fundación 2</w:t>
            </w:r>
          </w:p>
        </w:tc>
        <w:tc>
          <w:tcPr>
            <w:tcW w:type="dxa" w:w="7056"/>
            <w:vAlign w:val="center"/>
            <w:tcMar>
              <w:top w:w="90" w:type="dxa"/>
              <w:bottom w:w="90" w:type="dxa"/>
              <w:left w:w="105" w:type="dxa"/>
              <w:right w:w="105" w:type="dxa"/>
            </w:tcMar>
            <w:shd w:fill="FFFFFF"/>
          </w:tcPr>
          <w:p>
            <w:pPr>
              <w:spacing w:after="0" w:line="242" w:lineRule="auto"/>
            </w:pPr>
            <w:r>
              <w:rPr>
                <w:b w:val="0"/>
                <w:color w:val="000000"/>
                <w:sz w:val="20"/>
              </w:rPr>
              <w:t>280 t verificadas; 225 créditos vendidos; caja USD 3.250</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100</w:t>
            </w:r>
          </w:p>
        </w:tc>
      </w:tr>
      <w:tr>
        <w:trPr>
          <w:cantSplit/>
        </w:trPr>
        <w:tc>
          <w:tcPr>
            <w:tcW w:type="dxa" w:w="1584"/>
            <w:vAlign w:val="center"/>
            <w:tcMar>
              <w:top w:w="90" w:type="dxa"/>
              <w:bottom w:w="90" w:type="dxa"/>
              <w:left w:w="105" w:type="dxa"/>
              <w:right w:w="105" w:type="dxa"/>
            </w:tcMar>
            <w:shd w:fill="FFFFFF"/>
          </w:tcPr>
          <w:p>
            <w:pPr>
              <w:spacing w:after="0" w:line="242" w:lineRule="auto"/>
            </w:pPr>
            <w:r>
              <w:rPr>
                <w:b w:val="0"/>
                <w:color w:val="000000"/>
                <w:sz w:val="20"/>
              </w:rPr>
              <w:t>Estado</w:t>
            </w:r>
          </w:p>
        </w:tc>
        <w:tc>
          <w:tcPr>
            <w:tcW w:type="dxa" w:w="7056"/>
            <w:vAlign w:val="center"/>
            <w:tcMar>
              <w:top w:w="90" w:type="dxa"/>
              <w:bottom w:w="90" w:type="dxa"/>
              <w:left w:w="105" w:type="dxa"/>
              <w:right w:w="105" w:type="dxa"/>
            </w:tcMar>
            <w:shd w:fill="FFFFFF"/>
          </w:tcPr>
          <w:p>
            <w:pPr>
              <w:spacing w:after="0" w:line="242" w:lineRule="auto"/>
            </w:pPr>
            <w:r>
              <w:rPr>
                <w:b w:val="0"/>
                <w:color w:val="000000"/>
                <w:sz w:val="20"/>
              </w:rPr>
              <w:t>1.345 tCO₂e; producción 2.250 t; suma de votos +2</w:t>
            </w:r>
          </w:p>
        </w:tc>
        <w:tc>
          <w:tcPr>
            <w:tcW w:type="dxa" w:w="1440"/>
            <w:vAlign w:val="center"/>
            <w:tcMar>
              <w:top w:w="90" w:type="dxa"/>
              <w:bottom w:w="90" w:type="dxa"/>
              <w:left w:w="105" w:type="dxa"/>
              <w:right w:w="105" w:type="dxa"/>
            </w:tcMar>
            <w:shd w:fill="FFFFFF"/>
          </w:tcPr>
          <w:p>
            <w:pPr>
              <w:spacing w:after="0" w:line="242" w:lineRule="auto"/>
              <w:jc w:val="center"/>
            </w:pPr>
            <w:r>
              <w:rPr>
                <w:b w:val="0"/>
                <w:color w:val="000000"/>
                <w:sz w:val="20"/>
              </w:rPr>
              <w:t>91</w:t>
            </w:r>
          </w:p>
        </w:tc>
      </w:tr>
    </w:tbl>
    <w:p>
      <w:pPr>
        <w:spacing w:after="0" w:line="72" w:lineRule="auto"/>
      </w:pPr>
    </w:p>
    <w:p>
      <w:r>
        <w:t>Los aportes públicos suman USD 2.000. El recaudo total es USD 17.600. Al final el Estado conserva USD 15.600, de los cuales USD 3.280 están reservados para proyectos futuros. No hay déficit ni duplicación de ingresos por créditos.</w:t>
      </w:r>
    </w:p>
    <w:p>
      <w:pPr>
        <w:pStyle w:val="Heading2"/>
      </w:pPr>
      <w:r>
        <w:t>Qué debe observar la prueba</w:t>
      </w:r>
    </w:p>
    <w:p>
      <w:r>
        <w:t>Verificar que la banda permita decisiones diferentes de producción y compra; que ambas fundaciones negocien; que las subvenciones no sustituyan todos los aportes privados; y que los votos tengan razones. Comparar una partida con tarifa baja, otra alta y otra variable. Si los resultados son casi idénticos, ajustar bandas, costos o metas antes de ampliar reglas.</w:t>
      </w:r>
    </w:p>
    <w:p>
      <w:r>
        <w:t>No se exige comprar créditos a una fundación específica. La falta de compradores puede ser un resultado del mercado, pero el piloto debe evitar que se repita de forma sistemática y deje a un participante sin decisiones. Una derrota ambiental no termina anticipadamente la sesión.</w:t>
      </w:r>
    </w:p>
    <w:p>
      <w:pPr>
        <w:pStyle w:val="Heading2"/>
      </w:pPr>
      <w:r>
        <w:t>Bases económicas de consulta</w:t>
      </w:r>
    </w:p>
    <w:p>
      <w:r>
        <w:t>El impuesto fija un precio por emisión y las cantidades responden a las decisiones de los actores. La financiación puede cambiar la viabilidad de los proyectos. La verificación conecta el crédito con una reducción real. Estas ideas sustentan las reglas; los valores numéricos son parámetros del juego.</w:t>
      </w:r>
    </w:p>
    <w:p>
      <w:hyperlink r:id="rId10">
        <w:r>
          <w:rPr>
            <w:color w:val="000000"/>
            <w:u w:val="single"/>
          </w:rPr>
          <w:t>CORE Econ  Tecnología e incentivos y cambio climático</w:t>
        </w:r>
      </w:hyperlink>
    </w:p>
    <w:p>
      <w:hyperlink r:id="rId11">
        <w:r>
          <w:rPr>
            <w:color w:val="000000"/>
            <w:u w:val="single"/>
          </w:rPr>
          <w:t>CORE Econ  Políticas para promover tecnologías verdes</w:t>
        </w:r>
      </w:hyperlink>
    </w:p>
    <w:p>
      <w:hyperlink r:id="rId12">
        <w:r>
          <w:rPr>
            <w:color w:val="000000"/>
            <w:u w:val="single"/>
          </w:rPr>
          <w:t>Banco Mundial  Pricing Carbon</w:t>
        </w:r>
      </w:hyperlink>
    </w:p>
    <w:p>
      <w:hyperlink r:id="rId13">
        <w:r>
          <w:rPr>
            <w:color w:val="000000"/>
            <w:u w:val="single"/>
          </w:rPr>
          <w:t>UNFCCC  Paris Agreement Crediting Mechanism</w:t>
        </w:r>
      </w:hyperlink>
    </w:p>
    <w:sectPr w:rsidR="00FC693F" w:rsidRPr="0006063C" w:rsidSect="00034616">
      <w:footerReference w:type="default" r:id="rId9"/>
      <w:pgSz w:w="12240" w:h="15840"/>
      <w:pgMar w:top="979" w:right="1080" w:bottom="979"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line="252"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2" w:lineRule="auto" w:after="120" w:before="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after="80" w:before="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2" w:lineRule="auto" w:after="80" w:before="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ooks.core-econ.org/the-economy/microeconomics/02-technology-incentives-11-capitalism-climate-change.html" TargetMode="External"/><Relationship Id="rId11" Type="http://schemas.openxmlformats.org/officeDocument/2006/relationships/hyperlink" Target="https://books.core-econ.org/the-economy/macroeconomics/08-financial-environmental-crises-13-carbon-trap-green-technologies.html" TargetMode="External"/><Relationship Id="rId12" Type="http://schemas.openxmlformats.org/officeDocument/2006/relationships/hyperlink" Target="https://www.worldbank.org/en/programs/pricing-carbon" TargetMode="External"/><Relationship Id="rId13" Type="http://schemas.openxmlformats.org/officeDocument/2006/relationships/hyperlink" Target="https://unfccc.int/process-and-meetings/the-paris-agreement/article-64-mechan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pedagógica del juego de créditos de carbono</dc:title>
  <dc:subject>Economía Ambiental y Fundamentos de Economía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