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del juego Tensión de Carbono</w:t>
      </w:r>
    </w:p>
    <w:p>
      <w:pPr>
        <w:pStyle w:val="Subtitle"/>
      </w:pPr>
      <w:r>
        <w:t>Reglas y resultados de la prueba local</w:t>
        <w:br/>
        <w:t>28 de octubre de 2026</w:t>
      </w:r>
    </w:p>
    <w:p>
      <w:pPr>
        <w:pStyle w:val="Heading1"/>
      </w:pPr>
      <w:r>
        <w:t>1 Propósito y organización</w:t>
      </w:r>
    </w:p>
    <w:p>
      <w:r>
        <w:rPr>
          <w:b/>
        </w:rPr>
        <w:t xml:space="preserve">Uso. </w:t>
      </w:r>
      <w:r>
        <w:t>El informe permite organizar la partida y distinguir las reglas del juego de las funciones digitales comprobadas.</w:t>
      </w:r>
    </w:p>
    <w:p>
      <w:r>
        <w:t>Tensión de Carbono representa un mercado de créditos vinculado a un impuesto al carbono. Los participantes deciden cuánto producir, qué proyectos financiar y a qué precio comprar o vender reducciones verificadas. Un crédito representa una tCO₂e de reducción verificada frente a la línea base. La actividad se dirige a estudiantes con fundamentos de microeconomía y macroeconomía.</w:t>
      </w:r>
    </w:p>
    <w:p>
      <w:r>
        <w:t>Cada mesa representa una economía independiente de seis participantes. Se juegan cuatro rondas anuales. En una clase de cinco mesas no hay transacciones entre economías. El docente facilita y verifica; el operador registra acuerdos y rota, sin decidir por los demás.</w:t>
      </w:r>
    </w:p>
    <w:tbl>
      <w:tblPr>
        <w:tblW w:type="auto" w:w="0"/>
        <w:jc w:val="center"/>
        <w:tblLayout w:type="fixed"/>
        <w:tblLook w:firstColumn="1" w:firstRow="1" w:lastColumn="0" w:lastRow="0" w:noHBand="0" w:noVBand="1" w:val="04A0"/>
      </w:tblPr>
      <w:tblGrid>
        <w:gridCol w:w="1613"/>
        <w:gridCol w:w="1613"/>
        <w:gridCol w:w="6854"/>
      </w:tblGrid>
      <w:tr>
        <w:trPr>
          <w:tblHeader/>
          <w:cantSplit/>
        </w:trPr>
        <w:tc>
          <w:tcPr>
            <w:tcW w:type="dxa" w:w="1613"/>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sz w:val="21"/>
              </w:rPr>
              <w:t>Rol</w:t>
            </w:r>
          </w:p>
        </w:tc>
        <w:tc>
          <w:tcPr>
            <w:tcW w:type="dxa" w:w="1613"/>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Caja inicial USD</w:t>
            </w:r>
          </w:p>
        </w:tc>
        <w:tc>
          <w:tcPr>
            <w:tcW w:type="dxa" w:w="6854"/>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Decisiones propias</w:t>
            </w:r>
          </w:p>
        </w:tc>
      </w:tr>
      <w:tr>
        <w:trPr>
          <w:cantSplit/>
        </w:trPr>
        <w:tc>
          <w:tcPr>
            <w:tcW w:type="dxa" w:w="1613"/>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Empresa A</w:t>
            </w:r>
          </w:p>
        </w:tc>
        <w:tc>
          <w:tcPr>
            <w:tcW w:type="dxa" w:w="1613"/>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5.000</w:t>
            </w:r>
          </w:p>
        </w:tc>
        <w:tc>
          <w:tcPr>
            <w:tcW w:type="dxa" w:w="685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Producción y compra de créditos; intensidad de emisión 0,40.</w:t>
            </w:r>
          </w:p>
        </w:tc>
      </w:tr>
      <w:tr>
        <w:trPr>
          <w:cantSplit/>
        </w:trPr>
        <w:tc>
          <w:tcPr>
            <w:tcW w:type="dxa" w:w="1613"/>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Empresa B</w:t>
            </w:r>
          </w:p>
        </w:tc>
        <w:tc>
          <w:tcPr>
            <w:tcW w:type="dxa" w:w="1613"/>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5.000</w:t>
            </w:r>
          </w:p>
        </w:tc>
        <w:tc>
          <w:tcPr>
            <w:tcW w:type="dxa" w:w="6854"/>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Las mismas decisiones; intensidad 0,50.</w:t>
            </w:r>
          </w:p>
        </w:tc>
      </w:tr>
      <w:tr>
        <w:trPr>
          <w:cantSplit/>
        </w:trPr>
        <w:tc>
          <w:tcPr>
            <w:tcW w:type="dxa" w:w="1613"/>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Empresa C</w:t>
            </w:r>
          </w:p>
        </w:tc>
        <w:tc>
          <w:tcPr>
            <w:tcW w:type="dxa" w:w="1613"/>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5.000</w:t>
            </w:r>
          </w:p>
        </w:tc>
        <w:tc>
          <w:tcPr>
            <w:tcW w:type="dxa" w:w="685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Las mismas decisiones; intensidad 0,60.</w:t>
            </w:r>
          </w:p>
        </w:tc>
      </w:tr>
      <w:tr>
        <w:trPr>
          <w:cantSplit/>
        </w:trPr>
        <w:tc>
          <w:tcPr>
            <w:tcW w:type="dxa" w:w="1613"/>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Fundación F1</w:t>
            </w:r>
          </w:p>
        </w:tc>
        <w:tc>
          <w:tcPr>
            <w:tcW w:type="dxa" w:w="1613"/>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1.000</w:t>
            </w:r>
          </w:p>
        </w:tc>
        <w:tc>
          <w:tcPr>
            <w:tcW w:type="dxa" w:w="6854"/>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Proyectos, financiación y oferta de créditos.</w:t>
            </w:r>
          </w:p>
        </w:tc>
      </w:tr>
      <w:tr>
        <w:trPr>
          <w:cantSplit/>
        </w:trPr>
        <w:tc>
          <w:tcPr>
            <w:tcW w:type="dxa" w:w="1613"/>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Fundación F2</w:t>
            </w:r>
          </w:p>
        </w:tc>
        <w:tc>
          <w:tcPr>
            <w:tcW w:type="dxa" w:w="1613"/>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1.000</w:t>
            </w:r>
          </w:p>
        </w:tc>
        <w:tc>
          <w:tcPr>
            <w:tcW w:type="dxa" w:w="685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Las mismas decisiones, con proyectos independientes.</w:t>
            </w:r>
          </w:p>
        </w:tc>
      </w:tr>
      <w:tr>
        <w:trPr>
          <w:cantSplit/>
        </w:trPr>
        <w:tc>
          <w:tcPr>
            <w:tcW w:type="dxa" w:w="1613"/>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Estado</w:t>
            </w:r>
          </w:p>
        </w:tc>
        <w:tc>
          <w:tcPr>
            <w:tcW w:type="dxa" w:w="1613"/>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0</w:t>
            </w:r>
          </w:p>
        </w:tc>
        <w:tc>
          <w:tcPr>
            <w:tcW w:type="dxa" w:w="6854"/>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Tarifa, criterio de subvención y asignación del fondo disponible.</w:t>
            </w:r>
          </w:p>
        </w:tc>
      </w:tr>
    </w:tbl>
    <w:p>
      <w:pPr>
        <w:spacing w:after="0" w:before="0" w:line="60" w:lineRule="exact"/>
      </w:pPr>
      <w:r>
        <w:rPr>
          <w:sz w:val="6"/>
        </w:rPr>
      </w:r>
    </w:p>
    <w:p>
      <w:r>
        <w:t>La condición común es acumular como máximo 1.400 tCO₂e en cuatro años. Si se supera, todos pierden. Si se cumple, gana cada rol con al menos 70 de sus 100 puntos. Pueden ganar varios o todos; no existe un ganador absoluto entre roles.</w:t>
      </w:r>
    </w:p>
    <w:p>
      <w:r>
        <w:t>El diseño mantiene tres decisiones independientes: el Estado no fija el precio de los créditos ni autoriza contratos privados; las fundaciones no garantizan compradores; las empresas pueden rechazar ofertas. Los valores son didácticos y no reproducen una legislación nacional.</w:t>
      </w:r>
    </w:p>
    <w:p>
      <w:r>
        <w:rPr>
          <w:b/>
        </w:rPr>
        <w:t>Resultado de la revisión.</w:t>
      </w:r>
      <w:r>
        <w:t xml:space="preserve"> El motor Python completa la partida de ejemplo. La versión 3D entregada está incompleta y falla al compilar. Las pruebas también identifican incentivos de puntuación que requieren ajuste antes de considerar cerrado el balance del juego.</w:t>
      </w:r>
    </w:p>
    <w:p>
      <w:pPr>
        <w:pStyle w:val="Heading1"/>
        <w:pageBreakBefore/>
      </w:pPr>
      <w:r>
        <w:t>2 Parámetros económicos</w:t>
      </w:r>
    </w:p>
    <w:p>
      <w:r>
        <w:rPr>
          <w:b/>
        </w:rPr>
        <w:t xml:space="preserve">Uso. </w:t>
      </w:r>
      <w:r>
        <w:t>Los parámetros establecen los recursos y restricciones que enfrentan los participantes antes de negociar.</w:t>
      </w:r>
    </w:p>
    <w:p>
      <w:r>
        <w:t>Las empresas venden todo su producto a USD 50 por tonelada. Sus costos de producción son comunes; su intensidad de emisión es diferente. La utilidad previa al carbono aún debe descontar impuestos y compras de créditos.</w:t>
      </w:r>
    </w:p>
    <w:tbl>
      <w:tblPr>
        <w:tblW w:type="auto" w:w="0"/>
        <w:jc w:val="center"/>
        <w:tblLayout w:type="fixed"/>
        <w:tblLook w:firstColumn="1" w:firstRow="1" w:lastColumn="0" w:lastRow="0" w:noHBand="0" w:noVBand="1" w:val="04A0"/>
      </w:tblPr>
      <w:tblGrid>
        <w:gridCol w:w="1800"/>
        <w:gridCol w:w="1224"/>
        <w:gridCol w:w="1944"/>
        <w:gridCol w:w="1944"/>
        <w:gridCol w:w="3168"/>
      </w:tblGrid>
      <w:tr>
        <w:trPr>
          <w:tblHeader/>
          <w:cantSplit/>
        </w:trPr>
        <w:tc>
          <w:tcPr>
            <w:tcW w:type="dxa" w:w="1800"/>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sz w:val="21"/>
              </w:rPr>
              <w:t>Nivel</w:t>
            </w:r>
          </w:p>
        </w:tc>
        <w:tc>
          <w:tcPr>
            <w:tcW w:type="dxa" w:w="1224"/>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Producto t</w:t>
            </w:r>
          </w:p>
        </w:tc>
        <w:tc>
          <w:tcPr>
            <w:tcW w:type="dxa" w:w="1944"/>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Ingresos USD</w:t>
            </w:r>
          </w:p>
        </w:tc>
        <w:tc>
          <w:tcPr>
            <w:tcW w:type="dxa" w:w="1944"/>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Costos USD</w:t>
            </w:r>
          </w:p>
        </w:tc>
        <w:tc>
          <w:tcPr>
            <w:tcW w:type="dxa" w:w="3168"/>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Utilidad previa USD</w:t>
            </w:r>
          </w:p>
        </w:tc>
      </w:tr>
      <w:tr>
        <w:trPr>
          <w:cantSplit/>
        </w:trPr>
        <w:tc>
          <w:tcPr>
            <w:tcW w:type="dxa" w:w="180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Bajo</w:t>
            </w:r>
          </w:p>
        </w:tc>
        <w:tc>
          <w:tcPr>
            <w:tcW w:type="dxa" w:w="12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100</w:t>
            </w:r>
          </w:p>
        </w:tc>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5.000</w:t>
            </w:r>
          </w:p>
        </w:tc>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3.400</w:t>
            </w:r>
          </w:p>
        </w:tc>
        <w:tc>
          <w:tcPr>
            <w:tcW w:type="dxa" w:w="316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1.600</w:t>
            </w:r>
          </w:p>
        </w:tc>
      </w:tr>
      <w:tr>
        <w:trPr>
          <w:cantSplit/>
        </w:trPr>
        <w:tc>
          <w:tcPr>
            <w:tcW w:type="dxa" w:w="1800"/>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Medio</w:t>
            </w:r>
          </w:p>
        </w:tc>
        <w:tc>
          <w:tcPr>
            <w:tcW w:type="dxa" w:w="1224"/>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150</w:t>
            </w:r>
          </w:p>
        </w:tc>
        <w:tc>
          <w:tcPr>
            <w:tcW w:type="dxa" w:w="1944"/>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7.500</w:t>
            </w:r>
          </w:p>
        </w:tc>
        <w:tc>
          <w:tcPr>
            <w:tcW w:type="dxa" w:w="1944"/>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5.000</w:t>
            </w:r>
          </w:p>
        </w:tc>
        <w:tc>
          <w:tcPr>
            <w:tcW w:type="dxa" w:w="316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2.500</w:t>
            </w:r>
          </w:p>
        </w:tc>
      </w:tr>
      <w:tr>
        <w:trPr>
          <w:cantSplit/>
        </w:trPr>
        <w:tc>
          <w:tcPr>
            <w:tcW w:type="dxa" w:w="180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Medio alto</w:t>
            </w:r>
          </w:p>
        </w:tc>
        <w:tc>
          <w:tcPr>
            <w:tcW w:type="dxa" w:w="12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200</w:t>
            </w:r>
          </w:p>
        </w:tc>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10.000</w:t>
            </w:r>
          </w:p>
        </w:tc>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6.600</w:t>
            </w:r>
          </w:p>
        </w:tc>
        <w:tc>
          <w:tcPr>
            <w:tcW w:type="dxa" w:w="316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3.400</w:t>
            </w:r>
          </w:p>
        </w:tc>
      </w:tr>
      <w:tr>
        <w:trPr>
          <w:cantSplit/>
        </w:trPr>
        <w:tc>
          <w:tcPr>
            <w:tcW w:type="dxa" w:w="1800"/>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Alto</w:t>
            </w:r>
          </w:p>
        </w:tc>
        <w:tc>
          <w:tcPr>
            <w:tcW w:type="dxa" w:w="1224"/>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250</w:t>
            </w:r>
          </w:p>
        </w:tc>
        <w:tc>
          <w:tcPr>
            <w:tcW w:type="dxa" w:w="1944"/>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12.500</w:t>
            </w:r>
          </w:p>
        </w:tc>
        <w:tc>
          <w:tcPr>
            <w:tcW w:type="dxa" w:w="1944"/>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8.400</w:t>
            </w:r>
          </w:p>
        </w:tc>
        <w:tc>
          <w:tcPr>
            <w:tcW w:type="dxa" w:w="316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4.100</w:t>
            </w:r>
          </w:p>
        </w:tc>
      </w:tr>
      <w:tr>
        <w:trPr>
          <w:cantSplit/>
        </w:trPr>
        <w:tc>
          <w:tcPr>
            <w:tcW w:type="dxa" w:w="180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Muy alto</w:t>
            </w:r>
          </w:p>
        </w:tc>
        <w:tc>
          <w:tcPr>
            <w:tcW w:type="dxa" w:w="12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300</w:t>
            </w:r>
          </w:p>
        </w:tc>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15.000</w:t>
            </w:r>
          </w:p>
        </w:tc>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10.400</w:t>
            </w:r>
          </w:p>
        </w:tc>
        <w:tc>
          <w:tcPr>
            <w:tcW w:type="dxa" w:w="316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4.600</w:t>
            </w:r>
          </w:p>
        </w:tc>
      </w:tr>
    </w:tbl>
    <w:p>
      <w:pPr>
        <w:spacing w:after="0" w:before="0" w:line="60" w:lineRule="exact"/>
      </w:pPr>
      <w:r>
        <w:rPr>
          <w:sz w:val="6"/>
        </w:rPr>
      </w:r>
    </w:p>
    <w:p>
      <w:pPr>
        <w:pStyle w:val="Heading2"/>
      </w:pPr>
      <w:r>
        <w:t>Impuesto y compensación</w:t>
      </w:r>
    </w:p>
    <w:p>
      <w:r>
        <w:t>El Estado anuncia una tarifa entera y común a las tres empresas al comenzar el año. No puede modificarla durante la ronda. Las bandas son intervalos de elección, no tramos de un impuesto progresivo.</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sz w:val="21"/>
              </w:rPr>
              <w:t>Banda</w:t>
            </w:r>
          </w:p>
        </w:tc>
        <w:tc>
          <w:tcPr>
            <w:tcW w:type="dxa" w:w="7200"/>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Tarifa USD por tCO₂e</w:t>
            </w:r>
          </w:p>
        </w:tc>
      </w:tr>
      <w:tr>
        <w:trPr>
          <w:cantSplit/>
        </w:trPr>
        <w:tc>
          <w:tcPr>
            <w:tcW w:type="dxa" w:w="288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Baja</w:t>
            </w:r>
          </w:p>
        </w:tc>
        <w:tc>
          <w:tcPr>
            <w:tcW w:type="dxa" w:w="720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20 a 25</w:t>
            </w:r>
          </w:p>
        </w:tc>
      </w:tr>
      <w:tr>
        <w:trPr>
          <w:cantSplit/>
        </w:trPr>
        <w:tc>
          <w:tcPr>
            <w:tcW w:type="dxa" w:w="2880"/>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Media</w:t>
            </w:r>
          </w:p>
        </w:tc>
        <w:tc>
          <w:tcPr>
            <w:tcW w:type="dxa" w:w="7200"/>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26 a 32</w:t>
            </w:r>
          </w:p>
        </w:tc>
      </w:tr>
      <w:tr>
        <w:trPr>
          <w:cantSplit/>
        </w:trPr>
        <w:tc>
          <w:tcPr>
            <w:tcW w:type="dxa" w:w="288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Alta</w:t>
            </w:r>
          </w:p>
        </w:tc>
        <w:tc>
          <w:tcPr>
            <w:tcW w:type="dxa" w:w="720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33 a 40</w:t>
            </w:r>
          </w:p>
        </w:tc>
      </w:tr>
    </w:tbl>
    <w:p>
      <w:pPr>
        <w:spacing w:after="0" w:before="0" w:line="60" w:lineRule="exact"/>
      </w:pPr>
      <w:r>
        <w:rPr>
          <w:sz w:val="6"/>
        </w:rPr>
      </w:r>
    </w:p>
    <w:p>
      <w:r>
        <w:t>Un crédito elegible y retirado descuenta una tCO₂e de la base del impuesto. El uso de créditos está limitado al 50 % de las emisiones propias de cada empresa en ese año. La compra no modifica las emisiones físicas de su fábrica.</w:t>
      </w:r>
    </w:p>
    <w:p>
      <w:pPr>
        <w:pStyle w:val="Heading2"/>
      </w:pPr>
      <w:r>
        <w:t>Catálogo de proyectos</w:t>
      </w:r>
    </w:p>
    <w:tbl>
      <w:tblPr>
        <w:tblW w:type="auto" w:w="0"/>
        <w:jc w:val="center"/>
        <w:tblLayout w:type="fixed"/>
        <w:tblLook w:firstColumn="1" w:firstRow="1" w:lastColumn="0" w:lastRow="0" w:noHBand="0" w:noVBand="1" w:val="04A0"/>
      </w:tblPr>
      <w:tblGrid>
        <w:gridCol w:w="792"/>
        <w:gridCol w:w="4104"/>
        <w:gridCol w:w="2160"/>
        <w:gridCol w:w="3024"/>
      </w:tblGrid>
      <w:tr>
        <w:trPr>
          <w:tblHeader/>
          <w:cantSplit/>
        </w:trPr>
        <w:tc>
          <w:tcPr>
            <w:tcW w:type="dxa" w:w="792"/>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sz w:val="21"/>
              </w:rPr>
              <w:t>Tipo</w:t>
            </w:r>
          </w:p>
        </w:tc>
        <w:tc>
          <w:tcPr>
            <w:tcW w:type="dxa" w:w="4104"/>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Proyecto</w:t>
            </w:r>
          </w:p>
        </w:tc>
        <w:tc>
          <w:tcPr>
            <w:tcW w:type="dxa" w:w="2160"/>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Costo único USD</w:t>
            </w:r>
          </w:p>
        </w:tc>
        <w:tc>
          <w:tcPr>
            <w:tcW w:type="dxa" w:w="3024"/>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Reducción anual tCO₂e</w:t>
            </w:r>
          </w:p>
        </w:tc>
      </w:tr>
      <w:tr>
        <w:trPr>
          <w:cantSplit/>
        </w:trPr>
        <w:tc>
          <w:tcPr>
            <w:tcW w:type="dxa" w:w="79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P1</w:t>
            </w:r>
          </w:p>
        </w:tc>
        <w:tc>
          <w:tcPr>
            <w:tcW w:type="dxa" w:w="410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Eficiencia comunitaria</w:t>
            </w:r>
          </w:p>
        </w:tc>
        <w:tc>
          <w:tcPr>
            <w:tcW w:type="dxa" w:w="2160"/>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600</w:t>
            </w:r>
          </w:p>
        </w:tc>
        <w:tc>
          <w:tcPr>
            <w:tcW w:type="dxa" w:w="302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20</w:t>
            </w:r>
          </w:p>
        </w:tc>
      </w:tr>
      <w:tr>
        <w:trPr>
          <w:cantSplit/>
        </w:trPr>
        <w:tc>
          <w:tcPr>
            <w:tcW w:type="dxa" w:w="79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P2</w:t>
            </w:r>
          </w:p>
        </w:tc>
        <w:tc>
          <w:tcPr>
            <w:tcW w:type="dxa" w:w="4104"/>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Captura de metano</w:t>
            </w:r>
          </w:p>
        </w:tc>
        <w:tc>
          <w:tcPr>
            <w:tcW w:type="dxa" w:w="2160"/>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1.000</w:t>
            </w:r>
          </w:p>
        </w:tc>
        <w:tc>
          <w:tcPr>
            <w:tcW w:type="dxa" w:w="3024"/>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40</w:t>
            </w:r>
          </w:p>
        </w:tc>
      </w:tr>
    </w:tbl>
    <w:p>
      <w:pPr>
        <w:spacing w:after="0" w:before="0" w:line="60" w:lineRule="exact"/>
      </w:pPr>
      <w:r>
        <w:rPr>
          <w:sz w:val="6"/>
        </w:rPr>
      </w:r>
    </w:p>
    <w:p>
      <w:r>
        <w:t>El catálogo lo fija el docente antes de jugar. El Estado decide subvenciones, sin modificar esos costos. Se paga una vez; el costo incluye la operación hasta el año 4. Los proyectos se pueden repetir y operan desde el año de ejecución, si se verifica su lote.</w:t>
      </w:r>
    </w:p>
    <w:p>
      <w:r>
        <w:t>Cada fundación actúa sobre actividades externas con una línea base de 100 tCO₂e al año. Su capacidad total no puede superar esa cantidad y sus proyectos no se superponen. Un proyecto activo genera un lote nuevo cada año verificado; no reutiliza créditos de años anteriores.</w:t>
      </w:r>
    </w:p>
    <w:p>
      <w:pPr>
        <w:pStyle w:val="Heading1"/>
        <w:pageBreakBefore/>
      </w:pPr>
      <w:r>
        <w:t>3 Financiación y transacciones</w:t>
      </w:r>
    </w:p>
    <w:p>
      <w:r>
        <w:rPr>
          <w:b/>
        </w:rPr>
        <w:t xml:space="preserve">Uso. </w:t>
      </w:r>
      <w:r>
        <w:t>La secuencia distingue la inversión en un proyecto de la compra de los créditos que genera.</w:t>
      </w:r>
    </w:p>
    <w:p>
      <w:pPr>
        <w:pStyle w:val="Heading2"/>
      </w:pPr>
      <w:r>
        <w:t>Convenio público</w:t>
      </w:r>
    </w:p>
    <w:p>
      <w:r>
        <w:t>Al cerrar el año, el Estado reserva el 30 % del impuesto recaudado para proyectos del año siguiente. El 70 % restante pasa al presupuesto general, sin otros usos en la partida. El saldo del fondo que no se gasta se conserva. En el año 1 el fondo es cero.</w:t>
      </w:r>
    </w:p>
    <w:p>
      <w:r>
        <w:t>El convenio identifica año, fundación, proyecto, costo, aporte y criterio de selección. El Estado debe aplicar y publicar un criterio común para ambas fundaciones. Cada aporte puede cubrir hasta el 50 % del costo de un proyecto nuevo y la suma de aportes no puede exceder el fondo disponible al iniciar la ronda.</w:t>
      </w:r>
    </w:p>
    <w:p>
      <w:r>
        <w:t>La subvención no se devuelve si el proyecto se ejecuta según el convenio. No concede al Estado propiedad del proyecto ni créditos. La fundación conserva la propiedad y cubre el costo restante con su caja. No hay préstamos ni se puede financiar la ejecución con ingresos de una venta que todavía no ha ocurrido.</w:t>
      </w:r>
    </w:p>
    <w:p>
      <w:pPr>
        <w:pStyle w:val="Heading2"/>
      </w:pPr>
      <w:r>
        <w:t>Compra de créditos al contado</w:t>
      </w:r>
    </w:p>
    <w:p>
      <w:r>
        <w:t>La versión más reciente elimina los anticipos. Primero se ejecuta el proyecto, después el docente verifica las reducciones y finalmente se vende el lote disponible. La empresa y la fundación negocian directamente; el precio puede diferir entre contratos y no lo fija el Estado.</w:t>
      </w:r>
    </w:p>
    <w:p>
      <w:r>
        <w:t>Cada contrato registra un ID único, año, empresa, fundación, lote anual, cantidad, precio unitario y valor total. Ambas partes confirman el acuerdo. Se paga el total, se entregan los créditos y se retiran al aplicarlos al impuesto. En los JSON existentes el campo anticipo se conserva por compatibilidad y vale cero.</w:t>
      </w:r>
    </w:p>
    <w:p>
      <w:r>
        <w:t>No se admite vender más que el lote verificado ni retirar más del límite de la empresa. Un lote no verificado no genera créditos utilizables. Los créditos no se revenden; los no vendidos vencen al cerrar el año, aunque la reducción física verificada sí beneficia al equipo. La falta de verificación no elimina la inversión instalada: puede verificarse en un año posterior.</w:t>
      </w:r>
    </w:p>
    <w:p>
      <w:pPr>
        <w:pStyle w:val="Heading2"/>
      </w:pPr>
      <w:r>
        <w:t>Ejemplo completo sin anticipo</w:t>
      </w:r>
    </w:p>
    <w:p>
      <w:r>
        <w:t>F2 inicia el año 2 con USD 700 y un P1 activo. Solicita un P2 de USD 1.000. El Estado aporta USD 500 del fondo anterior y F2 aporta los USD 500 restantes. Antes de vender, su caja es 700 + 500 − 1.000 = USD 200.</w:t>
      </w:r>
    </w:p>
    <w:p>
      <w:r>
        <w:t>El docente verifica 60 tCO₂e del año: 20 del P1 y 40 del P2. F2 vende 20 créditos a B y 40 a C, todos a USD 18. Cobra USD 1.080 y termina con USD 1.280. B paga USD 360 y C paga USD 720. Las compras son válidas si cada empresa dispone de margen dentro de su tope del 50 %.</w:t>
      </w:r>
    </w:p>
    <w:p>
      <w:r>
        <w:t>Si no hay acuerdo sobre precio o cantidad, no se registra una venta. Las ofertas pueden renegociarse y una fundación puede quedarse con créditos sin vender. Tener un proyecto aprobado o una subvención no garantiza ingresos por créditos.</w:t>
      </w:r>
    </w:p>
    <w:p>
      <w:pPr>
        <w:pStyle w:val="Heading1"/>
        <w:pageBreakBefore/>
      </w:pPr>
      <w:r>
        <w:t>4 Desarrollo de cada ronda y cuentas</w:t>
      </w:r>
    </w:p>
    <w:p>
      <w:r>
        <w:rPr>
          <w:b/>
        </w:rPr>
        <w:t xml:space="preserve">Uso. </w:t>
      </w:r>
      <w:r>
        <w:t>El orden permite negociar con información pública y comprobar recursos antes de cerrar el año.</w:t>
      </w:r>
    </w:p>
    <w:tbl>
      <w:tblPr>
        <w:tblW w:type="auto" w:w="0"/>
        <w:jc w:val="center"/>
        <w:tblLayout w:type="fixed"/>
        <w:tblLook w:firstColumn="1" w:firstRow="1" w:lastColumn="0" w:lastRow="0" w:noHBand="0" w:noVBand="1" w:val="04A0"/>
      </w:tblPr>
      <w:tblGrid>
        <w:gridCol w:w="2016"/>
        <w:gridCol w:w="1008"/>
        <w:gridCol w:w="7056"/>
      </w:tblGrid>
      <w:tr>
        <w:trPr>
          <w:tblHeader/>
          <w:cantSplit/>
        </w:trPr>
        <w:tc>
          <w:tcPr>
            <w:tcW w:type="dxa" w:w="2016"/>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sz w:val="21"/>
              </w:rPr>
              <w:t>Momento</w:t>
            </w:r>
          </w:p>
        </w:tc>
        <w:tc>
          <w:tcPr>
            <w:tcW w:type="dxa" w:w="1008"/>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Minutos</w:t>
            </w:r>
          </w:p>
        </w:tc>
        <w:tc>
          <w:tcPr>
            <w:tcW w:type="dxa" w:w="7056"/>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Acción</w:t>
            </w:r>
          </w:p>
        </w:tc>
      </w:tr>
      <w:tr>
        <w:trPr>
          <w:cantSplit/>
        </w:trPr>
        <w:tc>
          <w:tcPr>
            <w:tcW w:type="dxa" w:w="201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Anunciar</w:t>
            </w:r>
          </w:p>
        </w:tc>
        <w:tc>
          <w:tcPr>
            <w:tcW w:type="dxa" w:w="10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w:t>
            </w:r>
          </w:p>
        </w:tc>
        <w:tc>
          <w:tcPr>
            <w:tcW w:type="dxa" w:w="70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El Estado publica tarifa, fondo y criterio de financiación.</w:t>
            </w:r>
          </w:p>
        </w:tc>
      </w:tr>
      <w:tr>
        <w:trPr>
          <w:cantSplit/>
        </w:trPr>
        <w:tc>
          <w:tcPr>
            <w:tcW w:type="dxa" w:w="201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Proponer</w:t>
            </w:r>
          </w:p>
        </w:tc>
        <w:tc>
          <w:tcPr>
            <w:tcW w:type="dxa" w:w="100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w:t>
            </w:r>
          </w:p>
        </w:tc>
        <w:tc>
          <w:tcPr>
            <w:tcW w:type="dxa" w:w="705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Empresas anuncian producción prevista; fundaciones presentan proyectos.</w:t>
            </w:r>
          </w:p>
        </w:tc>
      </w:tr>
      <w:tr>
        <w:trPr>
          <w:cantSplit/>
        </w:trPr>
        <w:tc>
          <w:tcPr>
            <w:tcW w:type="dxa" w:w="201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Financiar</w:t>
            </w:r>
          </w:p>
        </w:tc>
        <w:tc>
          <w:tcPr>
            <w:tcW w:type="dxa" w:w="10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3</w:t>
            </w:r>
          </w:p>
        </w:tc>
        <w:tc>
          <w:tcPr>
            <w:tcW w:type="dxa" w:w="70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Se negocian convenios y se comprueba la caja para ejecutar.</w:t>
            </w:r>
          </w:p>
        </w:tc>
      </w:tr>
      <w:tr>
        <w:trPr>
          <w:cantSplit/>
        </w:trPr>
        <w:tc>
          <w:tcPr>
            <w:tcW w:type="dxa" w:w="201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Verificar</w:t>
            </w:r>
          </w:p>
        </w:tc>
        <w:tc>
          <w:tcPr>
            <w:tcW w:type="dxa" w:w="100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w:t>
            </w:r>
          </w:p>
        </w:tc>
        <w:tc>
          <w:tcPr>
            <w:tcW w:type="dxa" w:w="705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Se pagan los proyectos y el docente valida el lote anual.</w:t>
            </w:r>
          </w:p>
        </w:tc>
      </w:tr>
      <w:tr>
        <w:trPr>
          <w:cantSplit/>
        </w:trPr>
        <w:tc>
          <w:tcPr>
            <w:tcW w:type="dxa" w:w="201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Transar y liquidar</w:t>
            </w:r>
          </w:p>
        </w:tc>
        <w:tc>
          <w:tcPr>
            <w:tcW w:type="dxa" w:w="10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w:t>
            </w:r>
          </w:p>
        </w:tc>
        <w:tc>
          <w:tcPr>
            <w:tcW w:type="dxa" w:w="70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Se pactan ventas al contado y se calculan producción, impuestos y cajas.</w:t>
            </w:r>
          </w:p>
        </w:tc>
      </w:tr>
      <w:tr>
        <w:trPr>
          <w:cantSplit/>
        </w:trPr>
        <w:tc>
          <w:tcPr>
            <w:tcW w:type="dxa" w:w="201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Revisar y valorar</w:t>
            </w:r>
          </w:p>
        </w:tc>
        <w:tc>
          <w:tcPr>
            <w:tcW w:type="dxa" w:w="100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w:t>
            </w:r>
          </w:p>
        </w:tc>
        <w:tc>
          <w:tcPr>
            <w:tcW w:type="dxa" w:w="705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Se observan resultados y se registra la valoración de la gestión estatal.</w:t>
            </w:r>
          </w:p>
        </w:tc>
      </w:tr>
    </w:tbl>
    <w:p>
      <w:pPr>
        <w:spacing w:after="0" w:before="0" w:line="60" w:lineRule="exact"/>
      </w:pPr>
      <w:r>
        <w:rPr>
          <w:sz w:val="6"/>
        </w:rPr>
      </w:r>
    </w:p>
    <w:p>
      <w:r>
        <w:t>La producción prevista y los acuerdos pueden corregirse antes de liquidar, conservando la tarifa anunciada. Una entrada inválida debe corregirse antes del cierre. En el motor probado, el rechazo conserva íntegro el estado de las rondas ya aceptadas.</w:t>
      </w:r>
    </w:p>
    <w:p>
      <w:pPr>
        <w:pStyle w:val="Heading2"/>
      </w:pPr>
      <w:r>
        <w:t>Cuenta de cada empresa</w:t>
      </w:r>
    </w:p>
    <w:p>
      <w:r>
        <w:t>Q es la producción en toneladas; a, la intensidad en tCO₂e por tonelada; E, las emisiones propias; C, los créditos retirados; τ, la tarifa; T, el impuesto; I, los ingresos; K, el costo productivo; GC, el gasto total en créditos; y π, la utilidad. Los valores monetarios se expresan en USD.</w:t>
      </w:r>
    </w:p>
    <w:p>
      <w:pPr>
        <w:jc w:val="center"/>
      </w:pPr>
      <m:oMath>
        <m:r>
          <m:t>E = a × Q     C ≤ 0,50 × E     T = τ × (E − C)</m:t>
        </m:r>
      </m:oMath>
    </w:p>
    <w:p>
      <w:pPr>
        <w:jc w:val="center"/>
      </w:pPr>
      <m:oMath>
        <m:r>
          <m:t>π = I − K − GC − T</m:t>
        </m:r>
      </m:oMath>
    </w:p>
    <w:p>
      <w:r>
        <w:t>La caja final empresarial es la caja inicial más la utilidad. Las ventas del producto se liquidan dentro del año; el motor exige caja final no negativa. Para una compra elegible, el ahorro neto por crédito es la tarifa menos el precio pagado. Si el precio excede la tarifa, comprar aumenta el costo monetario, aunque pueda aportar puntos.</w:t>
      </w:r>
    </w:p>
    <w:p>
      <w:pPr>
        <w:pStyle w:val="Heading2"/>
      </w:pPr>
      <w:r>
        <w:t>Cuenta física y fondo público</w:t>
      </w:r>
    </w:p>
    <w:p>
      <w:r>
        <w:t>G suma las emisiones propias de las tres empresas; R suma las reducciones externas verificadas; ER es la emisión física anual. Las actividades externas emiten 200 tCO₂e al año antes de los proyectos.</w:t>
      </w:r>
    </w:p>
    <w:p>
      <w:pPr>
        <w:jc w:val="center"/>
      </w:pPr>
      <m:oMath>
        <m:r>
          <m:t>ER = G + 200 − R</m:t>
        </m:r>
      </m:oMath>
    </w:p>
    <w:p>
      <w:r>
        <w:t>La emisión acumulada suma los cuatro ER. Los créditos retirados no se descuentan de nuevo. El fondo final equivale al fondo inicial menos las subvenciones del año más el 30 % del recaudo; ese nuevo recaudo solo puede financiar proyectos desde el año siguiente.</w:t>
      </w:r>
    </w:p>
    <w:p>
      <w:r>
        <w:rPr>
          <w:b/>
        </w:rPr>
        <w:t>Ejemplo.</w:t>
      </w:r>
      <w:r>
        <w:t xml:space="preserve"> Si G = 300, R = 200 y se retiran 150 créditos con tarifa de USD 30, el impuesto total es USD 4.500 y las emisiones físicas son 300 tCO₂e. Se reservan USD 1.350 para el fondo. Los otros 50 créditos no vendidos no eliminan la reducción ya verificada.</w:t>
      </w:r>
    </w:p>
    <w:p>
      <w:pPr>
        <w:pStyle w:val="Heading1"/>
        <w:pageBreakBefore/>
      </w:pPr>
      <w:r>
        <w:t>5 Puntuación de empresas y fundaciones</w:t>
      </w:r>
    </w:p>
    <w:p>
      <w:r>
        <w:rPr>
          <w:b/>
        </w:rPr>
        <w:t xml:space="preserve">Uso. </w:t>
      </w:r>
      <w:r>
        <w:t>La puntuación permite evaluar decisiones diferentes sin declarar un único ganador entre todos los participantes.</w:t>
      </w:r>
    </w:p>
    <w:p>
      <w:r>
        <w:t>Al finalizar el año 4 se comprueba primero el límite colectivo de 1.400 tCO₂e. Cumplido ese límite, cada rol gana con 70 puntos o más. Si se supera, ningún puntaje individual concede victoria. La derrota ambiental no interrumpe la actividad de análisis.</w:t>
      </w:r>
    </w:p>
    <w:p>
      <w:pPr>
        <w:pStyle w:val="Heading2"/>
      </w:pPr>
      <w:r>
        <w:t>Empresas hasta 100 puntos</w:t>
      </w:r>
    </w:p>
    <w:p>
      <w:r>
        <w:t>El margen se calcula como utilidad acumulada dividida por ingresos acumulados. La cobertura es créditos retirados acumulados divididos por emisiones propias acumuladas; no es el promedio simple de porcentajes anuales.</w:t>
      </w:r>
    </w:p>
    <w:tbl>
      <w:tblPr>
        <w:tblW w:type="auto" w:w="0"/>
        <w:jc w:val="center"/>
        <w:tblLayout w:type="fixed"/>
        <w:tblLook w:firstColumn="1" w:firstRow="1" w:lastColumn="0" w:lastRow="0" w:noHBand="0" w:noVBand="1" w:val="04A0"/>
      </w:tblPr>
      <w:tblGrid>
        <w:gridCol w:w="1656"/>
        <w:gridCol w:w="7416"/>
        <w:gridCol w:w="1008"/>
      </w:tblGrid>
      <w:tr>
        <w:trPr>
          <w:tblHeader/>
          <w:cantSplit/>
        </w:trPr>
        <w:tc>
          <w:tcPr>
            <w:tcW w:type="dxa" w:w="1656"/>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sz w:val="21"/>
              </w:rPr>
              <w:t>Componente</w:t>
            </w:r>
          </w:p>
        </w:tc>
        <w:tc>
          <w:tcPr>
            <w:tcW w:type="dxa" w:w="7416"/>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Condición al cierre</w:t>
            </w:r>
          </w:p>
        </w:tc>
        <w:tc>
          <w:tcPr>
            <w:tcW w:type="dxa" w:w="1008"/>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Puntos</w:t>
            </w:r>
          </w:p>
        </w:tc>
      </w:tr>
      <w:tr>
        <w:trPr>
          <w:cantSplit/>
        </w:trPr>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Margen</w:t>
            </w:r>
          </w:p>
        </w:tc>
        <w:tc>
          <w:tcPr>
            <w:tcW w:type="dxa" w:w="741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Al menos 10 %</w:t>
            </w:r>
          </w:p>
        </w:tc>
        <w:tc>
          <w:tcPr>
            <w:tcW w:type="dxa" w:w="10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40</w:t>
            </w:r>
          </w:p>
        </w:tc>
      </w:tr>
      <w:tr>
        <w:trPr>
          <w:cantSplit/>
        </w:trPr>
        <w:tc>
          <w:tcPr>
            <w:tcW w:type="dxa" w:w="165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r>
          </w:p>
        </w:tc>
        <w:tc>
          <w:tcPr>
            <w:tcW w:type="dxa" w:w="741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Desde 5 % hasta menos de 10 %</w:t>
            </w:r>
          </w:p>
        </w:tc>
        <w:tc>
          <w:tcPr>
            <w:tcW w:type="dxa" w:w="100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25</w:t>
            </w:r>
          </w:p>
        </w:tc>
      </w:tr>
      <w:tr>
        <w:trPr>
          <w:cantSplit/>
        </w:trPr>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r>
          </w:p>
        </w:tc>
        <w:tc>
          <w:tcPr>
            <w:tcW w:type="dxa" w:w="741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Mayor que cero y menor de 5 %</w:t>
            </w:r>
          </w:p>
        </w:tc>
        <w:tc>
          <w:tcPr>
            <w:tcW w:type="dxa" w:w="10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10</w:t>
            </w:r>
          </w:p>
        </w:tc>
      </w:tr>
      <w:tr>
        <w:trPr>
          <w:cantSplit/>
        </w:trPr>
        <w:tc>
          <w:tcPr>
            <w:tcW w:type="dxa" w:w="165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r>
          </w:p>
        </w:tc>
        <w:tc>
          <w:tcPr>
            <w:tcW w:type="dxa" w:w="741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Cero o negativo</w:t>
            </w:r>
          </w:p>
        </w:tc>
        <w:tc>
          <w:tcPr>
            <w:tcW w:type="dxa" w:w="100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0</w:t>
            </w:r>
          </w:p>
        </w:tc>
      </w:tr>
      <w:tr>
        <w:trPr>
          <w:cantSplit/>
        </w:trPr>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Cobertura</w:t>
            </w:r>
          </w:p>
        </w:tc>
        <w:tc>
          <w:tcPr>
            <w:tcW w:type="dxa" w:w="741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Al menos 40 %</w:t>
            </w:r>
          </w:p>
        </w:tc>
        <w:tc>
          <w:tcPr>
            <w:tcW w:type="dxa" w:w="10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40</w:t>
            </w:r>
          </w:p>
        </w:tc>
      </w:tr>
      <w:tr>
        <w:trPr>
          <w:cantSplit/>
        </w:trPr>
        <w:tc>
          <w:tcPr>
            <w:tcW w:type="dxa" w:w="165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r>
          </w:p>
        </w:tc>
        <w:tc>
          <w:tcPr>
            <w:tcW w:type="dxa" w:w="741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Desde 25 % hasta menos de 40 %</w:t>
            </w:r>
          </w:p>
        </w:tc>
        <w:tc>
          <w:tcPr>
            <w:tcW w:type="dxa" w:w="100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30</w:t>
            </w:r>
          </w:p>
        </w:tc>
      </w:tr>
      <w:tr>
        <w:trPr>
          <w:cantSplit/>
        </w:trPr>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r>
          </w:p>
        </w:tc>
        <w:tc>
          <w:tcPr>
            <w:tcW w:type="dxa" w:w="741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Mayor que cero y menor de 25 %</w:t>
            </w:r>
          </w:p>
        </w:tc>
        <w:tc>
          <w:tcPr>
            <w:tcW w:type="dxa" w:w="10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15</w:t>
            </w:r>
          </w:p>
        </w:tc>
      </w:tr>
      <w:tr>
        <w:trPr>
          <w:cantSplit/>
        </w:trPr>
        <w:tc>
          <w:tcPr>
            <w:tcW w:type="dxa" w:w="165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r>
          </w:p>
        </w:tc>
        <w:tc>
          <w:tcPr>
            <w:tcW w:type="dxa" w:w="741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Nula</w:t>
            </w:r>
          </w:p>
        </w:tc>
        <w:tc>
          <w:tcPr>
            <w:tcW w:type="dxa" w:w="100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0</w:t>
            </w:r>
          </w:p>
        </w:tc>
      </w:tr>
      <w:tr>
        <w:trPr>
          <w:cantSplit/>
        </w:trPr>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Solvencia</w:t>
            </w:r>
          </w:p>
        </w:tc>
        <w:tc>
          <w:tcPr>
            <w:tcW w:type="dxa" w:w="741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Caja no negativa y obligaciones liquidadas durante la partida</w:t>
            </w:r>
          </w:p>
        </w:tc>
        <w:tc>
          <w:tcPr>
            <w:tcW w:type="dxa" w:w="10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20</w:t>
            </w:r>
          </w:p>
        </w:tc>
      </w:tr>
      <w:tr>
        <w:trPr>
          <w:cantSplit/>
        </w:trPr>
        <w:tc>
          <w:tcPr>
            <w:tcW w:type="dxa" w:w="165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r>
          </w:p>
        </w:tc>
        <w:tc>
          <w:tcPr>
            <w:tcW w:type="dxa" w:w="741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Incumplimiento de la condición anterior</w:t>
            </w:r>
          </w:p>
        </w:tc>
        <w:tc>
          <w:tcPr>
            <w:tcW w:type="dxa" w:w="100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0</w:t>
            </w:r>
          </w:p>
        </w:tc>
      </w:tr>
    </w:tbl>
    <w:p>
      <w:pPr>
        <w:spacing w:after="0" w:before="0" w:line="60" w:lineRule="exact"/>
      </w:pPr>
      <w:r>
        <w:rPr>
          <w:sz w:val="6"/>
        </w:rPr>
      </w:r>
    </w:p>
    <w:p>
      <w:pPr>
        <w:pStyle w:val="Heading2"/>
      </w:pPr>
      <w:r>
        <w:t>Fundaciones hasta 100 puntos</w:t>
      </w:r>
    </w:p>
    <w:p>
      <w:r>
        <w:t>Las reducciones se acumulan durante los cuatro años. La proporción vendida divide créditos vendidos entre créditos emitidos durante la partida. Si no hay emisión, la venta puntúa cero.</w:t>
      </w:r>
    </w:p>
    <w:tbl>
      <w:tblPr>
        <w:tblW w:type="auto" w:w="0"/>
        <w:jc w:val="center"/>
        <w:tblLayout w:type="fixed"/>
        <w:tblLook w:firstColumn="1" w:firstRow="1" w:lastColumn="0" w:lastRow="0" w:noHBand="0" w:noVBand="1" w:val="04A0"/>
      </w:tblPr>
      <w:tblGrid>
        <w:gridCol w:w="1656"/>
        <w:gridCol w:w="6552"/>
        <w:gridCol w:w="1872"/>
      </w:tblGrid>
      <w:tr>
        <w:trPr>
          <w:tblHeader/>
          <w:cantSplit/>
        </w:trPr>
        <w:tc>
          <w:tcPr>
            <w:tcW w:type="dxa" w:w="1656"/>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sz w:val="21"/>
              </w:rPr>
              <w:t>Componente</w:t>
            </w:r>
          </w:p>
        </w:tc>
        <w:tc>
          <w:tcPr>
            <w:tcW w:type="dxa" w:w="6552"/>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Condición al cierre</w:t>
            </w:r>
          </w:p>
        </w:tc>
        <w:tc>
          <w:tcPr>
            <w:tcW w:type="dxa" w:w="1872"/>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Puntos</w:t>
            </w:r>
          </w:p>
        </w:tc>
      </w:tr>
      <w:tr>
        <w:trPr>
          <w:cantSplit/>
        </w:trPr>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Reducciones</w:t>
            </w:r>
          </w:p>
        </w:tc>
        <w:tc>
          <w:tcPr>
            <w:tcW w:type="dxa" w:w="655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Al menos 200 tCO₂e / desde 100 hasta menos de 200 / positivas menores de 100 / nulas</w:t>
            </w:r>
          </w:p>
        </w:tc>
        <w:tc>
          <w:tcPr>
            <w:tcW w:type="dxa" w:w="187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40 / 25 / 10 / 0</w:t>
            </w:r>
          </w:p>
        </w:tc>
      </w:tr>
      <w:tr>
        <w:trPr>
          <w:cantSplit/>
        </w:trPr>
        <w:tc>
          <w:tcPr>
            <w:tcW w:type="dxa" w:w="165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Ventas</w:t>
            </w:r>
          </w:p>
        </w:tc>
        <w:tc>
          <w:tcPr>
            <w:tcW w:type="dxa" w:w="655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Al menos 70 % / desde 40 % hasta menos de 70 % / positivas menores de 40 % / nulas</w:t>
            </w:r>
          </w:p>
        </w:tc>
        <w:tc>
          <w:tcPr>
            <w:tcW w:type="dxa" w:w="187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30 / 20 / 10 / 0</w:t>
            </w:r>
          </w:p>
        </w:tc>
      </w:tr>
      <w:tr>
        <w:trPr>
          <w:cantSplit/>
        </w:trPr>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Caja y contratos</w:t>
            </w:r>
          </w:p>
        </w:tc>
        <w:tc>
          <w:tcPr>
            <w:tcW w:type="dxa" w:w="655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Contratos liquidados y caja de al menos USD 1.000 / contratos liquidados y caja no negativa menor de USD 1.000 / otro caso</w:t>
            </w:r>
          </w:p>
        </w:tc>
        <w:tc>
          <w:tcPr>
            <w:tcW w:type="dxa" w:w="187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30 / 15 / 0</w:t>
            </w:r>
          </w:p>
        </w:tc>
      </w:tr>
    </w:tbl>
    <w:p>
      <w:pPr>
        <w:spacing w:after="0" w:before="0" w:line="60" w:lineRule="exact"/>
      </w:pPr>
      <w:r>
        <w:rPr>
          <w:sz w:val="6"/>
        </w:rPr>
      </w:r>
    </w:p>
    <w:p>
      <w:pPr>
        <w:pStyle w:val="Heading1"/>
        <w:pageBreakBefore/>
      </w:pPr>
      <w:r>
        <w:t>6 Puntuación estatal y conducción de la sesión</w:t>
      </w:r>
    </w:p>
    <w:p>
      <w:r>
        <w:rPr>
          <w:b/>
        </w:rPr>
        <w:t xml:space="preserve">Uso. </w:t>
      </w:r>
      <w:r>
        <w:t>La evaluación estatal combina resultados colectivos y reglas de financiación; la valoración debe poder justificarse con datos.</w:t>
      </w:r>
    </w:p>
    <w:tbl>
      <w:tblPr>
        <w:tblW w:type="auto" w:w="0"/>
        <w:jc w:val="center"/>
        <w:tblLayout w:type="fixed"/>
        <w:tblLook w:firstColumn="1" w:firstRow="1" w:lastColumn="0" w:lastRow="0" w:noHBand="0" w:noVBand="1" w:val="04A0"/>
      </w:tblPr>
      <w:tblGrid>
        <w:gridCol w:w="1656"/>
        <w:gridCol w:w="6912"/>
        <w:gridCol w:w="1512"/>
      </w:tblGrid>
      <w:tr>
        <w:trPr>
          <w:tblHeader/>
          <w:cantSplit/>
        </w:trPr>
        <w:tc>
          <w:tcPr>
            <w:tcW w:type="dxa" w:w="1656"/>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sz w:val="21"/>
              </w:rPr>
              <w:t>Componente</w:t>
            </w:r>
          </w:p>
        </w:tc>
        <w:tc>
          <w:tcPr>
            <w:tcW w:type="dxa" w:w="6912"/>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Condición</w:t>
            </w:r>
          </w:p>
        </w:tc>
        <w:tc>
          <w:tcPr>
            <w:tcW w:type="dxa" w:w="1512"/>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Puntos</w:t>
            </w:r>
          </w:p>
        </w:tc>
      </w:tr>
      <w:tr>
        <w:trPr>
          <w:cantSplit/>
        </w:trPr>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Ambiente</w:t>
            </w:r>
          </w:p>
        </w:tc>
        <w:tc>
          <w:tcPr>
            <w:tcW w:type="dxa" w:w="691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Emisiones acumuladas de hasta 1.400 tCO₂e</w:t>
            </w:r>
          </w:p>
        </w:tc>
        <w:tc>
          <w:tcPr>
            <w:tcW w:type="dxa" w:w="151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30</w:t>
            </w:r>
          </w:p>
        </w:tc>
      </w:tr>
      <w:tr>
        <w:trPr>
          <w:cantSplit/>
        </w:trPr>
        <w:tc>
          <w:tcPr>
            <w:tcW w:type="dxa" w:w="165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Producción</w:t>
            </w:r>
          </w:p>
        </w:tc>
        <w:tc>
          <w:tcPr>
            <w:tcW w:type="dxa" w:w="691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Al menos 1.800 t de producto acumuladas entre las tres empresas</w:t>
            </w:r>
          </w:p>
        </w:tc>
        <w:tc>
          <w:tcPr>
            <w:tcW w:type="dxa" w:w="151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20</w:t>
            </w:r>
          </w:p>
        </w:tc>
      </w:tr>
      <w:tr>
        <w:trPr>
          <w:cantSplit/>
        </w:trPr>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Financiación</w:t>
            </w:r>
          </w:p>
        </w:tc>
        <w:tc>
          <w:tcPr>
            <w:tcW w:type="dxa" w:w="691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Reserva del 30 % y subvención máxima del 50 % respetadas</w:t>
            </w:r>
          </w:p>
        </w:tc>
        <w:tc>
          <w:tcPr>
            <w:tcW w:type="dxa" w:w="151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20</w:t>
            </w:r>
          </w:p>
        </w:tc>
      </w:tr>
      <w:tr>
        <w:trPr>
          <w:cantSplit/>
        </w:trPr>
        <w:tc>
          <w:tcPr>
            <w:tcW w:type="dxa" w:w="165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Publicación</w:t>
            </w:r>
          </w:p>
        </w:tc>
        <w:tc>
          <w:tcPr>
            <w:tcW w:type="dxa" w:w="691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Criterio común y convenios publicados en todos los años</w:t>
            </w:r>
          </w:p>
        </w:tc>
        <w:tc>
          <w:tcPr>
            <w:tcW w:type="dxa" w:w="151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10</w:t>
            </w:r>
          </w:p>
        </w:tc>
      </w:tr>
      <w:tr>
        <w:trPr>
          <w:cantSplit/>
        </w:trPr>
        <w:tc>
          <w:tcPr>
            <w:tcW w:type="dxa" w:w="165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Valoración</w:t>
            </w:r>
          </w:p>
        </w:tc>
        <w:tc>
          <w:tcPr>
            <w:tcW w:type="dxa" w:w="691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10 más la mitad de V; V suma las 20 valoraciones de la partida</w:t>
            </w:r>
          </w:p>
        </w:tc>
        <w:tc>
          <w:tcPr>
            <w:tcW w:type="dxa" w:w="151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0 a 20</w:t>
            </w:r>
          </w:p>
        </w:tc>
      </w:tr>
    </w:tbl>
    <w:p>
      <w:pPr>
        <w:spacing w:after="0" w:before="0" w:line="60" w:lineRule="exact"/>
      </w:pPr>
      <w:r>
        <w:rPr>
          <w:sz w:val="6"/>
        </w:rPr>
      </w:r>
    </w:p>
    <w:p>
      <w:r>
        <w:t>La fórmula conserva medios puntos: con V = 1, la valoración aporta 10,5 puntos. La meta productiva aporta puntos; en el cálculo actual no es una condición obligatoria adicional para la victoria del Estado. El motor concede los 20 puntos financieros a toda partida válida porque ya bloquea las infracciones.</w:t>
      </w:r>
    </w:p>
    <w:p>
      <w:pPr>
        <w:pStyle w:val="Heading2"/>
      </w:pPr>
      <w:r>
        <w:t>Cambio reciente en la valoración</w:t>
      </w:r>
    </w:p>
    <w:p>
      <w:r>
        <w:t>Cada año evalúan al Estado A, B, C, F1 y F2. El diseño reciente establece una lista de tres criterios por actor: tres cumplidos generan +1; dos, 0; cero o uno, −1. Las empresas consideran transparencia, meta ambiental y viabilidad empresarial. Las fundaciones consideran transparencia, trato común e impulso a proyectos.</w:t>
      </w:r>
    </w:p>
    <w:p>
      <w:r>
        <w:t>Esta automatización todavía requiere definir umbrales y condiciones exactas para cada criterio y su momento de cálculo. El material disponible no permite reproducir una valoración automática única. El motor anterior solicita un valor y una razón: registra valoraciones, pero no verifica que procedan de esa lista.</w:t>
      </w:r>
    </w:p>
    <w:p>
      <w:r>
        <w:t>Para la operación presencial del motor anterior, el docente recoge las valoraciones con su evidencia y registra la razón, como dispone el manual. El Estado puede responder y no puede borrar valoraciones. Esta modalidad no demuestra que exista automatización ni voto secreto.</w:t>
      </w:r>
    </w:p>
    <w:p>
      <w:pPr>
        <w:pStyle w:val="Heading2"/>
      </w:pPr>
      <w:r>
        <w:t>Sesión docente de 90 minutos</w:t>
      </w:r>
    </w:p>
    <w:tbl>
      <w:tblPr>
        <w:tblW w:type="auto" w:w="0"/>
        <w:jc w:val="center"/>
        <w:tblLayout w:type="fixed"/>
        <w:tblLook w:firstColumn="1" w:firstRow="1" w:lastColumn="0" w:lastRow="0" w:noHBand="0" w:noVBand="1" w:val="04A0"/>
      </w:tblPr>
      <w:tblGrid>
        <w:gridCol w:w="1728"/>
        <w:gridCol w:w="8352"/>
      </w:tblGrid>
      <w:tr>
        <w:trPr>
          <w:tblHeader/>
          <w:cantSplit/>
        </w:trPr>
        <w:tc>
          <w:tcPr>
            <w:tcW w:type="dxa" w:w="1728"/>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sz w:val="21"/>
              </w:rPr>
              <w:t>Minutos</w:t>
            </w:r>
          </w:p>
        </w:tc>
        <w:tc>
          <w:tcPr>
            <w:tcW w:type="dxa" w:w="8352"/>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Actividad</w:t>
            </w:r>
          </w:p>
        </w:tc>
      </w:tr>
      <w:tr>
        <w:trPr>
          <w:cantSplit/>
        </w:trPr>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0 a 12</w:t>
            </w:r>
          </w:p>
        </w:tc>
        <w:tc>
          <w:tcPr>
            <w:tcW w:type="dxa" w:w="835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Contextualización y reparto de roles.</w:t>
            </w:r>
          </w:p>
        </w:tc>
      </w:tr>
      <w:tr>
        <w:trPr>
          <w:cantSplit/>
        </w:trPr>
        <w:tc>
          <w:tcPr>
            <w:tcW w:type="dxa" w:w="172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12 a 20</w:t>
            </w:r>
          </w:p>
        </w:tc>
        <w:tc>
          <w:tcPr>
            <w:tcW w:type="dxa" w:w="835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Ensayo sin puntos de proyecto, verificación y compra.</w:t>
            </w:r>
          </w:p>
        </w:tc>
      </w:tr>
      <w:tr>
        <w:trPr>
          <w:cantSplit/>
        </w:trPr>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20 a 68</w:t>
            </w:r>
          </w:p>
        </w:tc>
        <w:tc>
          <w:tcPr>
            <w:tcW w:type="dxa" w:w="835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Cuatro rondas de 12 minutos.</w:t>
            </w:r>
          </w:p>
        </w:tc>
      </w:tr>
      <w:tr>
        <w:trPr>
          <w:cantSplit/>
        </w:trPr>
        <w:tc>
          <w:tcPr>
            <w:tcW w:type="dxa" w:w="172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68 a 85</w:t>
            </w:r>
          </w:p>
        </w:tc>
        <w:tc>
          <w:tcPr>
            <w:tcW w:type="dxa" w:w="835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Comparación de las cinco economías.</w:t>
            </w:r>
          </w:p>
        </w:tc>
      </w:tr>
      <w:tr>
        <w:trPr>
          <w:cantSplit/>
        </w:trPr>
        <w:tc>
          <w:tcPr>
            <w:tcW w:type="dxa" w:w="17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85 a 90</w:t>
            </w:r>
          </w:p>
        </w:tc>
        <w:tc>
          <w:tcPr>
            <w:tcW w:type="dxa" w:w="835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Respuesta individual con una decisión, una alternativa y dos datos.</w:t>
            </w:r>
          </w:p>
        </w:tc>
      </w:tr>
    </w:tbl>
    <w:p>
      <w:pPr>
        <w:spacing w:after="0" w:before="0" w:line="60" w:lineRule="exact"/>
      </w:pPr>
      <w:r>
        <w:rPr>
          <w:sz w:val="6"/>
        </w:rPr>
      </w:r>
    </w:p>
    <w:p>
      <w:r>
        <w:t>Los puntos del juego no son la nota académica. La rúbrica docente asigna 30 % a distinguir proyecto, financiación y crédito; 30 % a justificar con datos; 25 % a separar cuenta fiscal y física; y 15 % a mejora y participación. El docente aclara reglas sin imponer precios o decisiones.</w:t>
      </w:r>
    </w:p>
    <w:p>
      <w:pPr>
        <w:pStyle w:val="Heading1"/>
        <w:pageBreakBefore/>
      </w:pPr>
      <w:r>
        <w:t>7 Resultados de la prueba local</w:t>
      </w:r>
    </w:p>
    <w:p>
      <w:r>
        <w:rPr>
          <w:b/>
        </w:rPr>
        <w:t xml:space="preserve">Uso. </w:t>
      </w:r>
      <w:r>
        <w:t>La prueba comprueba ejecución y consistencia; una sesión con estudiantes deberá evaluar comprensión, negociación y tiempos reales.</w:t>
      </w:r>
    </w:p>
    <w:p>
      <w:r>
        <w:t>Se revisó el ZIP del prototipo 3D y se instaló su conjunto de dependencias en una copia local. La compilación con npm run build falla porque main.jsx importa App.jsx, que no está incluido. El servidor Vite responde al HTML, pero la petición al módulo principal devuelve HTTP 500 por esa misma ausencia.</w:t>
      </w:r>
    </w:p>
    <w:p>
      <w:r>
        <w:t>Por tanto, no se pudo completar una partida en la interfaz ni comprobar las cabinas, la privacidad, los bloqueos por turno o las salas Firebase. Tampoco están los archivos Python anunciados dentro del ZIP. Sí se recuperó el motor de la entrega anterior y se ejecutó con la plantilla actual de cuatro rondas, cuyos anticipos son cero.</w:t>
      </w:r>
    </w:p>
    <w:tbl>
      <w:tblPr>
        <w:tblW w:type="auto" w:w="0"/>
        <w:jc w:val="center"/>
        <w:tblLayout w:type="fixed"/>
        <w:tblLook w:firstColumn="1" w:firstRow="1" w:lastColumn="0" w:lastRow="0" w:noHBand="0" w:noVBand="1" w:val="04A0"/>
      </w:tblPr>
      <w:tblGrid>
        <w:gridCol w:w="648"/>
        <w:gridCol w:w="1512"/>
        <w:gridCol w:w="1872"/>
        <w:gridCol w:w="1296"/>
        <w:gridCol w:w="1944"/>
        <w:gridCol w:w="2808"/>
      </w:tblGrid>
      <w:tr>
        <w:trPr>
          <w:tblHeader/>
          <w:cantSplit/>
        </w:trPr>
        <w:tc>
          <w:tcPr>
            <w:tcW w:type="dxa" w:w="648"/>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sz w:val="21"/>
              </w:rPr>
              <w:t>Año</w:t>
            </w:r>
          </w:p>
        </w:tc>
        <w:tc>
          <w:tcPr>
            <w:tcW w:type="dxa" w:w="1512"/>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Producción t</w:t>
            </w:r>
          </w:p>
        </w:tc>
        <w:tc>
          <w:tcPr>
            <w:tcW w:type="dxa" w:w="1872"/>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Créditos emitidos</w:t>
            </w:r>
          </w:p>
        </w:tc>
        <w:tc>
          <w:tcPr>
            <w:tcW w:type="dxa" w:w="1296"/>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Retirados</w:t>
            </w:r>
          </w:p>
        </w:tc>
        <w:tc>
          <w:tcPr>
            <w:tcW w:type="dxa" w:w="1944"/>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Impuesto USD</w:t>
            </w:r>
          </w:p>
        </w:tc>
        <w:tc>
          <w:tcPr>
            <w:tcW w:type="dxa" w:w="2808"/>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ER tCO₂e</w:t>
            </w:r>
          </w:p>
        </w:tc>
      </w:tr>
      <w:tr>
        <w:trPr>
          <w:cantSplit/>
        </w:trPr>
        <w:tc>
          <w:tcPr>
            <w:tcW w:type="dxa" w:w="6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1</w:t>
            </w:r>
          </w:p>
        </w:tc>
        <w:tc>
          <w:tcPr>
            <w:tcW w:type="dxa" w:w="151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500</w:t>
            </w:r>
          </w:p>
        </w:tc>
        <w:tc>
          <w:tcPr>
            <w:tcW w:type="dxa" w:w="187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40</w:t>
            </w:r>
          </w:p>
        </w:tc>
        <w:tc>
          <w:tcPr>
            <w:tcW w:type="dxa" w:w="129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40</w:t>
            </w:r>
          </w:p>
        </w:tc>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4.100</w:t>
            </w:r>
          </w:p>
        </w:tc>
        <w:tc>
          <w:tcPr>
            <w:tcW w:type="dxa" w:w="28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405</w:t>
            </w:r>
          </w:p>
        </w:tc>
      </w:tr>
      <w:tr>
        <w:trPr>
          <w:cantSplit/>
        </w:trPr>
        <w:tc>
          <w:tcPr>
            <w:tcW w:type="dxa" w:w="64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2</w:t>
            </w:r>
          </w:p>
        </w:tc>
        <w:tc>
          <w:tcPr>
            <w:tcW w:type="dxa" w:w="151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550</w:t>
            </w:r>
          </w:p>
        </w:tc>
        <w:tc>
          <w:tcPr>
            <w:tcW w:type="dxa" w:w="187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120</w:t>
            </w:r>
          </w:p>
        </w:tc>
        <w:tc>
          <w:tcPr>
            <w:tcW w:type="dxa" w:w="129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120</w:t>
            </w:r>
          </w:p>
        </w:tc>
        <w:tc>
          <w:tcPr>
            <w:tcW w:type="dxa" w:w="1944"/>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3.750</w:t>
            </w:r>
          </w:p>
        </w:tc>
        <w:tc>
          <w:tcPr>
            <w:tcW w:type="dxa" w:w="280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350</w:t>
            </w:r>
          </w:p>
        </w:tc>
      </w:tr>
      <w:tr>
        <w:trPr>
          <w:cantSplit/>
        </w:trPr>
        <w:tc>
          <w:tcPr>
            <w:tcW w:type="dxa" w:w="6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3</w:t>
            </w:r>
          </w:p>
        </w:tc>
        <w:tc>
          <w:tcPr>
            <w:tcW w:type="dxa" w:w="151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600</w:t>
            </w:r>
          </w:p>
        </w:tc>
        <w:tc>
          <w:tcPr>
            <w:tcW w:type="dxa" w:w="187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200</w:t>
            </w:r>
          </w:p>
        </w:tc>
        <w:tc>
          <w:tcPr>
            <w:tcW w:type="dxa" w:w="129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150</w:t>
            </w:r>
          </w:p>
        </w:tc>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4.500</w:t>
            </w:r>
          </w:p>
        </w:tc>
        <w:tc>
          <w:tcPr>
            <w:tcW w:type="dxa" w:w="28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300</w:t>
            </w:r>
          </w:p>
        </w:tc>
      </w:tr>
      <w:tr>
        <w:trPr>
          <w:cantSplit/>
        </w:trPr>
        <w:tc>
          <w:tcPr>
            <w:tcW w:type="dxa" w:w="64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4</w:t>
            </w:r>
          </w:p>
        </w:tc>
        <w:tc>
          <w:tcPr>
            <w:tcW w:type="dxa" w:w="151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600</w:t>
            </w:r>
          </w:p>
        </w:tc>
        <w:tc>
          <w:tcPr>
            <w:tcW w:type="dxa" w:w="187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200</w:t>
            </w:r>
          </w:p>
        </w:tc>
        <w:tc>
          <w:tcPr>
            <w:tcW w:type="dxa" w:w="1296"/>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140</w:t>
            </w:r>
          </w:p>
        </w:tc>
        <w:tc>
          <w:tcPr>
            <w:tcW w:type="dxa" w:w="1944"/>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5.250</w:t>
            </w:r>
          </w:p>
        </w:tc>
        <w:tc>
          <w:tcPr>
            <w:tcW w:type="dxa" w:w="280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290</w:t>
            </w:r>
          </w:p>
        </w:tc>
      </w:tr>
      <w:tr>
        <w:trPr>
          <w:cantSplit/>
        </w:trPr>
        <w:tc>
          <w:tcPr>
            <w:tcW w:type="dxa" w:w="64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Total</w:t>
            </w:r>
          </w:p>
        </w:tc>
        <w:tc>
          <w:tcPr>
            <w:tcW w:type="dxa" w:w="151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2.250</w:t>
            </w:r>
          </w:p>
        </w:tc>
        <w:tc>
          <w:tcPr>
            <w:tcW w:type="dxa" w:w="187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560</w:t>
            </w:r>
          </w:p>
        </w:tc>
        <w:tc>
          <w:tcPr>
            <w:tcW w:type="dxa" w:w="1296"/>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450</w:t>
            </w:r>
          </w:p>
        </w:tc>
        <w:tc>
          <w:tcPr>
            <w:tcW w:type="dxa" w:w="1944"/>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17.600</w:t>
            </w:r>
          </w:p>
        </w:tc>
        <w:tc>
          <w:tcPr>
            <w:tcW w:type="dxa" w:w="280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val="0"/>
                <w:sz w:val="21"/>
              </w:rPr>
              <w:t>1.345</w:t>
            </w:r>
          </w:p>
        </w:tc>
      </w:tr>
    </w:tbl>
    <w:p>
      <w:pPr>
        <w:spacing w:after="0" w:before="0" w:line="60" w:lineRule="exact"/>
      </w:pPr>
      <w:r>
        <w:rPr>
          <w:sz w:val="6"/>
        </w:rPr>
      </w:r>
    </w:p>
    <w:p>
      <w:r>
        <w:t>Con las valoraciones registradas de la plantilla, los puntos son A 100, B 100, C 75, F1 100, F2 100 y Estado 91. Todos ganan. El fondo final es USD 3.280. Este resultado comprueba los cálculos y las valoraciones de entrada; no comprueba una calificación automática del Estado.</w:t>
      </w:r>
    </w:p>
    <w:tbl>
      <w:tblPr>
        <w:tblW w:type="auto" w:w="0"/>
        <w:jc w:val="center"/>
        <w:tblLayout w:type="fixed"/>
        <w:tblLook w:firstColumn="1" w:firstRow="1" w:lastColumn="0" w:lastRow="0" w:noHBand="0" w:noVBand="1" w:val="04A0"/>
      </w:tblPr>
      <w:tblGrid>
        <w:gridCol w:w="3528"/>
        <w:gridCol w:w="6552"/>
      </w:tblGrid>
      <w:tr>
        <w:trPr>
          <w:tblHeader/>
          <w:cantSplit/>
        </w:trPr>
        <w:tc>
          <w:tcPr>
            <w:tcW w:type="dxa" w:w="3528"/>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sz w:val="21"/>
              </w:rPr>
              <w:t>Pruebas realizadas</w:t>
            </w:r>
          </w:p>
        </w:tc>
        <w:tc>
          <w:tcPr>
            <w:tcW w:type="dxa" w:w="6552"/>
            <w:vAlign w:val="center"/>
            <w:shd w:fill="DCE7E9"/>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jc w:val="center"/>
            </w:pPr>
            <w:r>
              <w:rPr>
                <w:b/>
                <w:sz w:val="21"/>
              </w:rPr>
              <w:t>Resultado observado</w:t>
            </w:r>
          </w:p>
        </w:tc>
      </w:tr>
      <w:tr>
        <w:trPr>
          <w:cantSplit/>
        </w:trPr>
        <w:tc>
          <w:tcPr>
            <w:tcW w:type="dxa" w:w="35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Nueve pruebas heredadas</w:t>
            </w:r>
          </w:p>
        </w:tc>
        <w:tc>
          <w:tcPr>
            <w:tcW w:type="dxa" w:w="655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Las nueve pasan, incluidas reglas antiguas de anticipos.</w:t>
            </w:r>
          </w:p>
        </w:tc>
      </w:tr>
      <w:tr>
        <w:trPr>
          <w:cantSplit/>
        </w:trPr>
        <w:tc>
          <w:tcPr>
            <w:tcW w:type="dxa" w:w="352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Veintitrés comprobaciones adicionales</w:t>
            </w:r>
          </w:p>
        </w:tc>
        <w:tc>
          <w:tcPr>
            <w:tcW w:type="dxa" w:w="655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Se verificaron cuentas, restricciones y escenarios de balance.</w:t>
            </w:r>
          </w:p>
        </w:tc>
      </w:tr>
      <w:tr>
        <w:trPr>
          <w:cantSplit/>
        </w:trPr>
        <w:tc>
          <w:tcPr>
            <w:tcW w:type="dxa" w:w="35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Recorrido interactivo completo</w:t>
            </w:r>
          </w:p>
        </w:tc>
        <w:tc>
          <w:tcPr>
            <w:tcW w:type="dxa" w:w="655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Cuatro rondas mediante 191 respuestas programadas por consola.</w:t>
            </w:r>
          </w:p>
        </w:tc>
      </w:tr>
      <w:tr>
        <w:trPr>
          <w:cantSplit/>
        </w:trPr>
        <w:tc>
          <w:tcPr>
            <w:tcW w:type="dxa" w:w="352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Catorce entradas inválidas</w:t>
            </w:r>
          </w:p>
        </w:tc>
        <w:tc>
          <w:tcPr>
            <w:tcW w:type="dxa" w:w="655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Se rechazan sin alterar el estado previo: topes, caja, fondo, ID y datos.</w:t>
            </w:r>
          </w:p>
        </w:tc>
      </w:tr>
      <w:tr>
        <w:trPr>
          <w:cantSplit/>
        </w:trPr>
        <w:tc>
          <w:tcPr>
            <w:tcW w:type="dxa" w:w="3528"/>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Precio y emisiones</w:t>
            </w:r>
          </w:p>
        </w:tc>
        <w:tc>
          <w:tcPr>
            <w:tcW w:type="dxa" w:w="6552"/>
            <w:vAlign w:val="center"/>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Cambiar un precio afecta la utilidad, sin alterar la reducción física.</w:t>
            </w:r>
          </w:p>
        </w:tc>
      </w:tr>
      <w:tr>
        <w:trPr>
          <w:cantSplit/>
        </w:trPr>
        <w:tc>
          <w:tcPr>
            <w:tcW w:type="dxa" w:w="3528"/>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Producción máxima</w:t>
            </w:r>
          </w:p>
        </w:tc>
        <w:tc>
          <w:tcPr>
            <w:tcW w:type="dxa" w:w="6552"/>
            <w:vAlign w:val="center"/>
            <w:shd w:fill="F3F6F7"/>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0" w:before="0" w:line="245" w:lineRule="auto"/>
            </w:pPr>
            <w:r>
              <w:rPr>
                <w:b w:val="0"/>
                <w:sz w:val="21"/>
              </w:rPr>
              <w:t>Con la inversión del ejemplo, genera 2.040 tCO₂e y todos pierden.</w:t>
            </w:r>
          </w:p>
        </w:tc>
      </w:tr>
    </w:tbl>
    <w:p>
      <w:pPr>
        <w:spacing w:after="0" w:before="0" w:line="60" w:lineRule="exact"/>
      </w:pPr>
      <w:r>
        <w:rPr>
          <w:sz w:val="6"/>
        </w:rPr>
      </w:r>
    </w:p>
    <w:p>
      <w:r>
        <w:t>Las 23 comprobaciones adicionales cumplen sus expectativas; algunas confirman comportamientos que requieren revisión de diseño. No equivalen a 23 criterios de jugabilidad aprobados. La ejecución interactiva usa respuestas programadas, sin seis personas negociando ni una medición de 12 minutos por ronda.</w:t>
      </w:r>
    </w:p>
    <w:p>
      <w:pPr>
        <w:pStyle w:val="Heading1"/>
        <w:pageBreakBefore/>
      </w:pPr>
      <w:r>
        <w:t>8 Evaluación de jugabilidad y ajustes propuestos</w:t>
      </w:r>
    </w:p>
    <w:p>
      <w:r>
        <w:rPr>
          <w:b/>
        </w:rPr>
        <w:t xml:space="preserve">Uso. </w:t>
      </w:r>
      <w:r>
        <w:t>Los hallazgos permiten priorizar la implementación y corregir incentivos sin confundir propuestas con reglas ya aprobadas.</w:t>
      </w:r>
    </w:p>
    <w:p>
      <w:pPr>
        <w:pStyle w:val="Heading2"/>
      </w:pPr>
      <w:r>
        <w:t>Qué funciona en el modelo probado</w:t>
      </w:r>
    </w:p>
    <w:p>
      <w:r>
        <w:t>Existe una partida viable en la que todos ganan. La caja inicial de las fundaciones permite proyectos desde el primer año y el fondo público puede ampliar la oferta después. Los precios negociados afectan las utilidades. La distinción entre crédito usado y reducción física evita descontar dos veces el mismo beneficio ambiental.</w:t>
      </w:r>
    </w:p>
    <w:p>
      <w:r>
        <w:t>También aparece una tensión comercial útil: el ejemplo pasa de vender todo el lote del primer año a dejar 50 y 60 créditos sin usar en los años 3 y 4. Las fundaciones deben considerar demanda y ventas, además de capacidad instalada. Es un escenario de ejemplo, no evidencia de negociación entre estudiantes.</w:t>
      </w:r>
    </w:p>
    <w:p>
      <w:pPr>
        <w:pStyle w:val="Heading2"/>
      </w:pPr>
      <w:r>
        <w:t>Hallazgos de balance</w:t>
      </w:r>
    </w:p>
    <w:p>
      <w:r>
        <w:rPr>
          <w:b/>
        </w:rPr>
        <w:t>Participación empresarial mínima.</w:t>
      </w:r>
      <w:r>
        <w:t xml:space="preserve"> Se construyó una partida válida en la que A compra un solo crédito frente a 340 tCO₂e acumuladas: cobertura del 0,29 %. Obtiene 40 puntos de margen, 15 de cobertura y 20 de solvencia, suma 75 y gana. Los demás roles también ganan. La puntuación permite una participación casi simbólica en el mercado.</w:t>
      </w:r>
    </w:p>
    <w:p>
      <w:r>
        <w:rPr>
          <w:b/>
        </w:rPr>
        <w:t>Producción estatal no exigible.</w:t>
      </w:r>
      <w:r>
        <w:t xml:space="preserve"> Con las tres empresas en producción baja, sin proyectos ni créditos y tarifa de USD 20, se acumulan exactamente 1.400 tCO₂e y 1.200 t de producto. Con valoraciones neutrales, el Estado suma 70 puntos y gana pese a no alcanzar las 1.800 t. Los otros roles no ganan.</w:t>
      </w:r>
    </w:p>
    <w:p>
      <w:r>
        <w:rPr>
          <w:b/>
        </w:rPr>
        <w:t>Diferencias entre versiones.</w:t>
      </w:r>
      <w:r>
        <w:t xml:space="preserve"> El Python probado todavía admite anticipos y valoraciones manuales. Si recibe una venta de un lote no verificado, la cancela y liquida la ronda; no aplica el bloqueo estricto que describe el diseño reciente. Estas conductas deben armonizarse antes de compartir archivos como una sola versión.</w:t>
      </w:r>
    </w:p>
    <w:p>
      <w:pPr>
        <w:pStyle w:val="Heading2"/>
      </w:pPr>
      <w:r>
        <w:t>Propuestas para la siguiente versión</w:t>
      </w:r>
    </w:p>
    <w:p>
      <w:r>
        <w:t>Primero, completar App.jsx y probar un recorrido de cuatro rondas en la interfaz. Después, retirar anticipos de controles y validaciones, definir la lista automática estatal con umbrales reproducibles y asegurar que el registro por turnos permita revisar acuerdos antes del cierre. Las salas requieren una prueba posterior con seis conexiones y control de acceso por rol.</w:t>
      </w:r>
    </w:p>
    <w:p>
      <w:r>
        <w:t>Para evitar el crédito simbólico, se propone reducir de 15 a 5 los puntos por cobertura positiva menor del 25 %: aun con margen y solvencia máximos, ese caso sumaría 65. Si la producción mínima debe ser obligatoria para el Estado, se propone exigir las 1.800 t además de sus 70 puntos. Son cambios propuestos; no se aplicaron al motor ni a los resultados anteriores.</w:t>
      </w:r>
    </w:p>
    <w:p>
      <w:r>
        <w:rPr>
          <w:b/>
        </w:rPr>
        <w:t>Dictamen.</w:t>
      </w:r>
      <w:r>
        <w:t xml:space="preserve"> El modelo económico permite un ensayo presencial asistido por consola. El prototipo 3D entregado no está listo para jugar. El balance de puntos y los tiempos requieren una prueba de aula antes de declarar validada la jugabilidad completa.</w:t>
      </w:r>
    </w:p>
    <w:p>
      <w:r>
        <w:t>Fuentes del proyecto: Manual_Completo_Tension_Carbono.docx, versión de 7 páginas; CONTEXTO_Y_DECISIONES.md y datos del ZIP tension_carbono_prototipo_3d.zip; motor tension_carbono.py de la entrega del 14 de octubre; ejecución y auditoría local del 28 de octubre de 2026.</w:t>
      </w:r>
    </w:p>
    <w:sectPr w:rsidR="00FC693F" w:rsidRPr="0006063C" w:rsidSect="00034616">
      <w:footerReference w:type="default" r:id="rId9"/>
      <w:pgSz w:w="12240" w:h="15840"/>
      <w:pgMar w:top="1008"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Tensión de Carbono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juego Tensión de Carbono</dc:title>
  <dc:subject>Reglas vigentes y prueba local de jugabilidad</dc:subject>
  <dc:creator>Proyecto Tensión de Carbono</dc:creator>
  <cp:keywords>economía ambiental, créditos de carbono, reglas, prueba local</cp:keywords>
  <dc:description>generated by python-docx</dc:description>
  <cp:lastModifiedBy/>
  <cp:revision>1</cp:revision>
  <dcterms:created xsi:type="dcterms:W3CDTF">2013-12-23T23:15:00Z</dcterms:created>
  <dcterms:modified xsi:type="dcterms:W3CDTF">2013-12-23T23:15:00Z</dcterms:modified>
  <cp:category/>
</cp:coreProperties>
</file>