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2024 Financial Summary</w:t>
      </w:r>
    </w:p>
    <w:p>
      <w:r>
        <w:t>The following financial highlights cover the period January through September 2024. Revenue exceeded expectations across all segments.</w:t>
      </w:r>
    </w:p>
    <w:p>
      <w:pPr>
        <w:pStyle w:val="Heading2"/>
      </w:pPr>
      <w:r>
        <w:t>Quarterly Revenue</w:t>
      </w:r>
    </w:p>
    <w:p>
      <w:r>
        <w:t>Revenue by division for Q3 2024 is provided in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Division</w:t>
            </w:r>
          </w:p>
        </w:tc>
        <w:tc>
          <w:tcPr>
            <w:tcW w:type="dxa" w:w="2880"/>
          </w:tcPr>
          <w:p>
            <w:r>
              <w:t>Revenue (millions JMD)</w:t>
            </w:r>
          </w:p>
        </w:tc>
        <w:tc>
          <w:tcPr>
            <w:tcW w:type="dxa" w:w="2880"/>
          </w:tcPr>
          <w:p>
            <w:r>
              <w:t>YoY Growth</w:t>
            </w:r>
          </w:p>
        </w:tc>
      </w:tr>
      <w:tr>
        <w:tc>
          <w:tcPr>
            <w:tcW w:type="dxa" w:w="2880"/>
          </w:tcPr>
          <w:p>
            <w:r>
              <w:t>Beverage Operations</w:t>
            </w:r>
          </w:p>
        </w:tc>
        <w:tc>
          <w:tcPr>
            <w:tcW w:type="dxa" w:w="2880"/>
          </w:tcPr>
          <w:p>
            <w:r>
              <w:t>4,500</w:t>
            </w:r>
          </w:p>
        </w:tc>
        <w:tc>
          <w:tcPr>
            <w:tcW w:type="dxa" w:w="2880"/>
          </w:tcPr>
          <w:p>
            <w:r>
              <w:t>12%</w:t>
            </w:r>
          </w:p>
        </w:tc>
      </w:tr>
      <w:tr>
        <w:tc>
          <w:tcPr>
            <w:tcW w:type="dxa" w:w="2880"/>
          </w:tcPr>
          <w:p>
            <w:r>
              <w:t>Analytics Services</w:t>
            </w:r>
          </w:p>
        </w:tc>
        <w:tc>
          <w:tcPr>
            <w:tcW w:type="dxa" w:w="2880"/>
          </w:tcPr>
          <w:p>
            <w:r>
              <w:t>1,425</w:t>
            </w:r>
          </w:p>
        </w:tc>
        <w:tc>
          <w:tcPr>
            <w:tcW w:type="dxa" w:w="2880"/>
          </w:tcPr>
          <w:p>
            <w:r>
              <w:t>18%</w:t>
            </w:r>
          </w:p>
        </w:tc>
      </w:tr>
      <w:tr>
        <w:tc>
          <w:tcPr>
            <w:tcW w:type="dxa" w:w="2880"/>
          </w:tcPr>
          <w:p>
            <w:r>
              <w:t>Distribution</w:t>
            </w:r>
          </w:p>
        </w:tc>
        <w:tc>
          <w:tcPr>
            <w:tcW w:type="dxa" w:w="2880"/>
          </w:tcPr>
          <w:p>
            <w:r>
              <w:t>3,200</w:t>
            </w:r>
          </w:p>
        </w:tc>
        <w:tc>
          <w:tcPr>
            <w:tcW w:type="dxa" w:w="2880"/>
          </w:tcPr>
          <w:p>
            <w:r>
              <w:t>5%</w:t>
            </w:r>
          </w:p>
        </w:tc>
      </w:tr>
    </w:tbl>
    <w:p>
      <w:r>
        <w:t>Note: all figures are preliminary and subject to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