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5F1B" w14:textId="77777777" w:rsidR="00FC0DA0" w:rsidRDefault="00FC0DA0" w:rsidP="00FC0DA0">
      <w:pPr>
        <w:jc w:val="center"/>
        <w:rPr>
          <w:b/>
        </w:rPr>
      </w:pPr>
      <w:r>
        <w:rPr>
          <w:b/>
        </w:rPr>
        <w:t>Novel and future insights into the complex genetic etiology of Alzheimer’s disease</w:t>
      </w:r>
    </w:p>
    <w:p w14:paraId="13EF6C2C" w14:textId="62F47982" w:rsidR="00FC0DA0" w:rsidRDefault="00FC0DA0" w:rsidP="00FC0DA0">
      <w:pPr>
        <w:jc w:val="center"/>
        <w:rPr>
          <w:vertAlign w:val="superscript"/>
        </w:rPr>
      </w:pPr>
      <w:r>
        <w:t>Shea J Andrews</w:t>
      </w:r>
      <w:r>
        <w:rPr>
          <w:vertAlign w:val="superscript"/>
        </w:rPr>
        <w:t>1</w:t>
      </w:r>
      <w:r>
        <w:t>; Brian-Fulton Howard</w:t>
      </w:r>
      <w:r>
        <w:rPr>
          <w:vertAlign w:val="superscript"/>
        </w:rPr>
        <w:t>2</w:t>
      </w:r>
      <w:r>
        <w:t>; Alan E Renton</w:t>
      </w:r>
      <w:r>
        <w:rPr>
          <w:vertAlign w:val="superscript"/>
        </w:rPr>
        <w:t>2</w:t>
      </w:r>
      <w:r>
        <w:t>; Eduardo Marcora</w:t>
      </w:r>
      <w:r>
        <w:rPr>
          <w:vertAlign w:val="superscript"/>
        </w:rPr>
        <w:t>2</w:t>
      </w:r>
      <w:r>
        <w:t>; Alison Goate</w:t>
      </w:r>
      <w:r>
        <w:rPr>
          <w:vertAlign w:val="superscript"/>
        </w:rPr>
        <w:t>2</w:t>
      </w:r>
    </w:p>
    <w:p w14:paraId="631593E5" w14:textId="77777777" w:rsidR="00FC0DA0" w:rsidRDefault="00FC0DA0" w:rsidP="00FC0DA0">
      <w:pPr>
        <w:jc w:val="center"/>
      </w:pPr>
    </w:p>
    <w:p w14:paraId="4DD7B612" w14:textId="77777777" w:rsidR="00FC0DA0" w:rsidRDefault="00FC0DA0" w:rsidP="00FC0DA0">
      <w:pPr>
        <w:jc w:val="center"/>
      </w:pPr>
      <w:r>
        <w:rPr>
          <w:vertAlign w:val="superscript"/>
        </w:rPr>
        <w:t>1</w:t>
      </w:r>
      <w:r>
        <w:t>Department of Psychiatry and Behavioral Sciences, University of California, San Francisco, San Francisco, California, USA</w:t>
      </w:r>
    </w:p>
    <w:p w14:paraId="6770B05F" w14:textId="77777777" w:rsidR="00FC0DA0" w:rsidRDefault="00FC0DA0" w:rsidP="00FC0DA0">
      <w:pPr>
        <w:jc w:val="center"/>
      </w:pPr>
      <w:r>
        <w:rPr>
          <w:vertAlign w:val="superscript"/>
        </w:rPr>
        <w:t>2</w:t>
      </w:r>
      <w:r>
        <w:t xml:space="preserve">Department of Genetics and Genomic Sciences, Icahn School of Medicine at Mount Sinai New York, NY, USA </w:t>
      </w:r>
    </w:p>
    <w:p w14:paraId="53C0107C" w14:textId="157C717D" w:rsidR="00325801" w:rsidRDefault="00325801"/>
    <w:p w14:paraId="621A77FD" w14:textId="780F3B9F" w:rsidR="00C203A3" w:rsidRDefault="00C203A3">
      <w:pPr>
        <w:rPr>
          <w:b/>
          <w:bCs/>
        </w:rPr>
      </w:pPr>
      <w:r>
        <w:rPr>
          <w:b/>
          <w:bCs/>
        </w:rPr>
        <w:t>Summary</w:t>
      </w:r>
    </w:p>
    <w:p w14:paraId="7B6F2BCF" w14:textId="3665E517" w:rsidR="00C203A3" w:rsidRDefault="00C203A3">
      <w:pPr>
        <w:rPr>
          <w:b/>
          <w:bCs/>
          <w:i/>
          <w:iCs/>
        </w:rPr>
      </w:pPr>
      <w:r>
        <w:rPr>
          <w:b/>
          <w:bCs/>
          <w:i/>
          <w:iCs/>
        </w:rPr>
        <w:t xml:space="preserve">Background: </w:t>
      </w:r>
    </w:p>
    <w:p w14:paraId="7E1282A9" w14:textId="272B8F66" w:rsidR="00C203A3" w:rsidRDefault="00C203A3">
      <w:pPr>
        <w:rPr>
          <w:b/>
          <w:bCs/>
          <w:i/>
          <w:iCs/>
        </w:rPr>
      </w:pPr>
    </w:p>
    <w:p w14:paraId="4D28F539" w14:textId="4002B29B" w:rsidR="00C203A3" w:rsidRDefault="00C203A3">
      <w:pPr>
        <w:rPr>
          <w:b/>
          <w:bCs/>
          <w:i/>
          <w:iCs/>
        </w:rPr>
      </w:pPr>
      <w:r>
        <w:rPr>
          <w:b/>
          <w:bCs/>
          <w:i/>
          <w:iCs/>
        </w:rPr>
        <w:t xml:space="preserve">Recent developments: </w:t>
      </w:r>
    </w:p>
    <w:p w14:paraId="0867475A" w14:textId="7D29061B" w:rsidR="00C203A3" w:rsidRDefault="00C203A3">
      <w:pPr>
        <w:rPr>
          <w:b/>
          <w:bCs/>
          <w:i/>
          <w:iCs/>
        </w:rPr>
      </w:pPr>
    </w:p>
    <w:p w14:paraId="29DC45C7" w14:textId="16F06A7A" w:rsidR="00C203A3" w:rsidRPr="00C203A3" w:rsidRDefault="00C203A3">
      <w:pPr>
        <w:rPr>
          <w:b/>
          <w:bCs/>
          <w:i/>
          <w:iCs/>
        </w:rPr>
      </w:pPr>
      <w:r>
        <w:rPr>
          <w:b/>
          <w:bCs/>
          <w:i/>
          <w:iCs/>
        </w:rPr>
        <w:t>Where next?</w:t>
      </w:r>
    </w:p>
    <w:p w14:paraId="6125E6CA" w14:textId="77777777" w:rsidR="00C203A3" w:rsidRDefault="00C203A3"/>
    <w:p w14:paraId="1D9D9C7F" w14:textId="3F836772" w:rsidR="00D76923" w:rsidRDefault="00D76923">
      <w:r>
        <w:rPr>
          <w:b/>
          <w:bCs/>
        </w:rPr>
        <w:t>Introduction</w:t>
      </w:r>
    </w:p>
    <w:p w14:paraId="73F853F8" w14:textId="41451D77" w:rsidR="00CD551F" w:rsidRDefault="00D76923" w:rsidP="00D76923">
      <w:pPr>
        <w:jc w:val="both"/>
      </w:pPr>
      <w:r>
        <w:t xml:space="preserve">Alzheimer’s disease (AD) is a neurodegenerative </w:t>
      </w:r>
      <w:r w:rsidR="00C02D42">
        <w:t>disorder</w:t>
      </w:r>
      <w:r>
        <w:t xml:space="preserve"> characterized by the </w:t>
      </w:r>
      <w:r w:rsidR="00C203A3">
        <w:t xml:space="preserve">aggregation of </w:t>
      </w:r>
      <w:r w:rsidR="00C203A3" w:rsidRPr="00C203A3">
        <w:t>amyloid β peptides into extracellular plaques and of hyperphosphorylated tau into intracellular neurofibrillary tangles</w:t>
      </w:r>
      <w:r w:rsidR="00C203A3">
        <w:t xml:space="preserve"> resulting in </w:t>
      </w:r>
      <w:r>
        <w:t xml:space="preserve">progressive decline in cognitive function </w:t>
      </w:r>
      <w:r w:rsidR="00C203A3">
        <w:t xml:space="preserve">along </w:t>
      </w:r>
      <w:r>
        <w:t xml:space="preserve">with concomitant decline in functional ability. </w:t>
      </w:r>
      <w:r w:rsidR="004614BD">
        <w:t xml:space="preserve">Genetic </w:t>
      </w:r>
      <w:r w:rsidR="00FE4ECF">
        <w:t>variants</w:t>
      </w:r>
      <w:r w:rsidR="004614BD">
        <w:t xml:space="preserve"> </w:t>
      </w:r>
      <w:r w:rsidR="0088439F">
        <w:t>play a subs</w:t>
      </w:r>
      <w:r w:rsidR="00170548">
        <w:t>t</w:t>
      </w:r>
      <w:r w:rsidR="0088439F">
        <w:t>antial</w:t>
      </w:r>
      <w:r w:rsidR="00170548">
        <w:t xml:space="preserve"> role</w:t>
      </w:r>
      <w:r w:rsidR="004614BD">
        <w:t xml:space="preserve"> </w:t>
      </w:r>
      <w:r w:rsidR="0088439F">
        <w:t xml:space="preserve">in the development of </w:t>
      </w:r>
      <w:r w:rsidR="004614BD">
        <w:t>AD</w:t>
      </w:r>
      <w:r w:rsidR="00FE4ECF">
        <w:t xml:space="preserve"> and</w:t>
      </w:r>
      <w:r w:rsidR="0088439F">
        <w:t xml:space="preserve"> can be conceptualized </w:t>
      </w:r>
      <w:r w:rsidR="00FE4ECF">
        <w:t xml:space="preserve">as occupying a space </w:t>
      </w:r>
      <w:r w:rsidR="0088439F">
        <w:t>along two dimensions: minor allele frequency and effect size</w:t>
      </w:r>
      <w:r w:rsidR="00D220F3">
        <w:t xml:space="preserve"> (Figure 1)</w:t>
      </w:r>
      <w:r w:rsidR="00FE4ECF">
        <w:t>. At one end of this spectrum, very r</w:t>
      </w:r>
      <w:r w:rsidR="004614BD">
        <w:t xml:space="preserve">are highly penetrant mutations in </w:t>
      </w:r>
      <w:r w:rsidR="004614BD">
        <w:rPr>
          <w:i/>
          <w:iCs/>
        </w:rPr>
        <w:t xml:space="preserve">APP, PSEN1, and PSEN2 </w:t>
      </w:r>
      <w:r w:rsidR="004614BD">
        <w:t xml:space="preserve">result in </w:t>
      </w:r>
      <w:r w:rsidR="00170548">
        <w:t xml:space="preserve">autosomal dominant </w:t>
      </w:r>
      <w:r w:rsidR="00FE4ECF">
        <w:t>Alzheimer’s disease</w:t>
      </w:r>
      <w:r w:rsidR="00D220F3">
        <w:t xml:space="preserve"> that typically </w:t>
      </w:r>
      <w:r w:rsidR="00B73B06">
        <w:t>have</w:t>
      </w:r>
      <w:r w:rsidR="00D220F3">
        <w:t xml:space="preserve"> an early onset. </w:t>
      </w:r>
      <w:r w:rsidR="0010297B">
        <w:t xml:space="preserve">At the other end of the spectra, common alleles of small effect size contribute to individuals’ genetic liability for disease, but are not </w:t>
      </w:r>
      <w:r w:rsidR="00AA5B7B">
        <w:t>individually</w:t>
      </w:r>
      <w:r w:rsidR="0010297B">
        <w:t xml:space="preserve"> causal</w:t>
      </w:r>
      <w:r w:rsidR="00AA5B7B">
        <w:t>, that are typically identified via genome-wide association studies</w:t>
      </w:r>
      <w:r w:rsidR="008035F3">
        <w:t xml:space="preserve"> (GWAS)</w:t>
      </w:r>
      <w:r w:rsidR="00AA5B7B">
        <w:t>.</w:t>
      </w:r>
      <w:r w:rsidR="00786B7E">
        <w:t xml:space="preserve"> </w:t>
      </w:r>
    </w:p>
    <w:p w14:paraId="3DE7ACB4" w14:textId="77777777" w:rsidR="00CD551F" w:rsidRDefault="00CD551F" w:rsidP="00D76923">
      <w:pPr>
        <w:jc w:val="both"/>
      </w:pPr>
    </w:p>
    <w:p w14:paraId="59658BC1" w14:textId="769A481F" w:rsidR="00CD551F" w:rsidRDefault="00CD551F" w:rsidP="00D76923">
      <w:pPr>
        <w:jc w:val="both"/>
      </w:pPr>
      <w:r>
        <w:t xml:space="preserve">In our previous </w:t>
      </w:r>
      <w:r w:rsidR="00786B7E">
        <w:t>review, we provided an overview of GWAS methodology, the loci discovered by the largest AD GWAS at the time, and of gene prioritization efforts to identify the causal genes at each locus</w:t>
      </w:r>
      <w:r w:rsidR="006927D4">
        <w:t xml:space="preserve"> </w:t>
      </w:r>
      <w:sdt>
        <w:sdtPr>
          <w:alias w:val="SmartCite Citation"/>
          <w:tag w:val="a67db091-fd47-45fb-9a40-1eda94fc6800:1ec4389e-86ce-4b96-8d79-26444ccbba1b+"/>
          <w:id w:val="813841823"/>
          <w:placeholder>
            <w:docPart w:val="DefaultPlaceholder_-1854013440"/>
          </w:placeholder>
        </w:sdtPr>
        <w:sdtContent>
          <w:r w:rsidR="006927D4" w:rsidRPr="006927D4">
            <w:rPr>
              <w:rFonts w:eastAsia="Times New Roman"/>
              <w:color w:val="000000"/>
            </w:rPr>
            <w:t>[1]</w:t>
          </w:r>
        </w:sdtContent>
      </w:sdt>
      <w:r w:rsidR="00786B7E">
        <w:t xml:space="preserve">. </w:t>
      </w:r>
      <w:r w:rsidR="00741ACD">
        <w:t xml:space="preserve">Since then, two new GWAS of AD have been published that have significantly larger sample sizes and double the number of loci associated with AD (Figure 2). In this Rapid Review, we will </w:t>
      </w:r>
      <w:r w:rsidR="008C4CA6">
        <w:t>summarize</w:t>
      </w:r>
      <w:r w:rsidR="00741ACD">
        <w:t xml:space="preserve"> the </w:t>
      </w:r>
      <w:r w:rsidR="00135D23">
        <w:t xml:space="preserve">loci </w:t>
      </w:r>
      <w:r w:rsidR="008C4CA6">
        <w:t>and the</w:t>
      </w:r>
      <w:r w:rsidR="008103A1">
        <w:t>ir</w:t>
      </w:r>
      <w:r w:rsidR="008C4CA6">
        <w:t xml:space="preserve"> respective causal genes associated with AD</w:t>
      </w:r>
      <w:r w:rsidR="008103A1">
        <w:t xml:space="preserve">; discuss heritability estimates of AD; and highlight how </w:t>
      </w:r>
      <w:r w:rsidR="0013196D">
        <w:t xml:space="preserve">GWAS </w:t>
      </w:r>
      <w:r w:rsidR="008103A1">
        <w:t>summary statistics are being used in downstream analyses</w:t>
      </w:r>
      <w:r w:rsidR="0013196D">
        <w:t>. Finally, we will highlight existing knowledge gaps in the genetics of AD</w:t>
      </w:r>
      <w:r w:rsidR="00135D23">
        <w:t xml:space="preserve"> and highlight some preliminary studies that are addressing these gaps. </w:t>
      </w:r>
      <w:r w:rsidR="0013196D">
        <w:t xml:space="preserve">  </w:t>
      </w:r>
      <w:r w:rsidR="008103A1">
        <w:t xml:space="preserve"> </w:t>
      </w:r>
      <w:r w:rsidR="008C4CA6">
        <w:t xml:space="preserve">  </w:t>
      </w:r>
      <w:r w:rsidR="00741ACD">
        <w:t xml:space="preserve"> </w:t>
      </w:r>
      <w:r w:rsidR="00786B7E">
        <w:t xml:space="preserve"> </w:t>
      </w:r>
    </w:p>
    <w:p w14:paraId="0A43AA2B" w14:textId="77777777" w:rsidR="00786B7E" w:rsidRDefault="00786B7E" w:rsidP="00D76923">
      <w:pPr>
        <w:jc w:val="both"/>
      </w:pPr>
    </w:p>
    <w:p w14:paraId="2F245FCD" w14:textId="6224B4E9" w:rsidR="00D76923" w:rsidRDefault="00001A02" w:rsidP="00D76923">
      <w:pPr>
        <w:jc w:val="both"/>
      </w:pPr>
      <w:r>
        <w:rPr>
          <w:b/>
          <w:bCs/>
        </w:rPr>
        <w:t xml:space="preserve">Genetic loci associated with Alzheimer’s Disease </w:t>
      </w:r>
    </w:p>
    <w:p w14:paraId="4D77A906" w14:textId="7402D15C" w:rsidR="006927D4" w:rsidRDefault="00542C8F" w:rsidP="00701B11">
      <w:pPr>
        <w:jc w:val="both"/>
        <w:divId w:val="639775508"/>
      </w:pPr>
      <w:r>
        <w:t>Following up on their earlier GWAS</w:t>
      </w:r>
      <w:r w:rsidR="00CC333D">
        <w:t xml:space="preserve"> </w:t>
      </w:r>
      <w:sdt>
        <w:sdtPr>
          <w:alias w:val="SmartCite Citation"/>
          <w:tag w:val="a67db091-fd47-45fb-9a40-1eda94fc6800:e7ad0d95-890d-4cd3-ae53-d02d077cd20b+"/>
          <w:id w:val="-656534429"/>
          <w:placeholder>
            <w:docPart w:val="DefaultPlaceholder_-1854013440"/>
          </w:placeholder>
        </w:sdtPr>
        <w:sdtContent>
          <w:r w:rsidR="006927D4" w:rsidRPr="006927D4">
            <w:rPr>
              <w:rFonts w:eastAsia="Times New Roman"/>
              <w:color w:val="000000"/>
            </w:rPr>
            <w:t>[2]</w:t>
          </w:r>
        </w:sdtContent>
      </w:sdt>
      <w:r>
        <w:t xml:space="preserve">, Wightman et al </w:t>
      </w:r>
      <w:sdt>
        <w:sdtPr>
          <w:alias w:val="SmartCite Citation"/>
          <w:tag w:val="a67db091-fd47-45fb-9a40-1eda94fc6800:dbbd2326-852e-4b4b-a62c-a34c091c73c3+"/>
          <w:id w:val="-18393189"/>
          <w:placeholder>
            <w:docPart w:val="DefaultPlaceholder_-1854013440"/>
          </w:placeholder>
        </w:sdtPr>
        <w:sdtContent>
          <w:r w:rsidR="006927D4" w:rsidRPr="006927D4">
            <w:rPr>
              <w:rFonts w:eastAsia="Times New Roman"/>
              <w:color w:val="000000"/>
            </w:rPr>
            <w:t>[3]</w:t>
          </w:r>
        </w:sdtContent>
      </w:sdt>
      <w:r w:rsidR="006927D4">
        <w:t xml:space="preserve"> </w:t>
      </w:r>
      <w:r w:rsidR="00865B22">
        <w:t>performed a meta-analysis of 13 cohorts totaling 1,126,563 individuals (</w:t>
      </w:r>
      <w:r w:rsidR="00A44DAF" w:rsidRPr="00A44DAF">
        <w:t>43</w:t>
      </w:r>
      <w:r w:rsidR="00A44DAF">
        <w:t>,</w:t>
      </w:r>
      <w:r w:rsidR="00A44DAF" w:rsidRPr="00A44DAF">
        <w:t>725</w:t>
      </w:r>
      <w:r w:rsidR="00A44DAF">
        <w:t xml:space="preserve"> cases, </w:t>
      </w:r>
      <w:r w:rsidR="00A44DAF" w:rsidRPr="00A44DAF">
        <w:t>46</w:t>
      </w:r>
      <w:r w:rsidR="00A44DAF">
        <w:t>,</w:t>
      </w:r>
      <w:r w:rsidR="00A44DAF" w:rsidRPr="00A44DAF">
        <w:t>613</w:t>
      </w:r>
      <w:r w:rsidR="00A44DAF">
        <w:t xml:space="preserve"> proxy-cases, </w:t>
      </w:r>
      <w:r w:rsidR="00A44DAF" w:rsidRPr="00A44DAF">
        <w:t>717</w:t>
      </w:r>
      <w:r w:rsidR="00A44DAF">
        <w:t>,</w:t>
      </w:r>
      <w:r w:rsidR="00A44DAF" w:rsidRPr="00A44DAF">
        <w:t>979</w:t>
      </w:r>
      <w:r w:rsidR="00A44DAF">
        <w:t xml:space="preserve"> controls, </w:t>
      </w:r>
      <w:r w:rsidR="00A44DAF" w:rsidRPr="00A44DAF">
        <w:t>318</w:t>
      </w:r>
      <w:r w:rsidR="00A44DAF">
        <w:t>,</w:t>
      </w:r>
      <w:r w:rsidR="00A44DAF" w:rsidRPr="00A44DAF">
        <w:t>246</w:t>
      </w:r>
      <w:r w:rsidR="00A44DAF">
        <w:t xml:space="preserve"> proxy-controls)</w:t>
      </w:r>
      <w:r w:rsidR="00CC333D">
        <w:t xml:space="preserve"> and identified 38 loci associated with AD – seven which were novel. </w:t>
      </w:r>
      <w:proofErr w:type="spellStart"/>
      <w:r w:rsidR="00CD6DD1">
        <w:t>Bellenguez</w:t>
      </w:r>
      <w:proofErr w:type="spellEnd"/>
      <w:r w:rsidR="00CD6DD1">
        <w:t xml:space="preserve"> et al similarly expanded their earlier GWAS</w:t>
      </w:r>
      <w:r w:rsidR="00701B11">
        <w:t xml:space="preserve"> by increasing their sample size to </w:t>
      </w:r>
      <w:r w:rsidR="00701B11" w:rsidRPr="00701B11">
        <w:t>788</w:t>
      </w:r>
      <w:r w:rsidR="00701B11">
        <w:t>,</w:t>
      </w:r>
      <w:r w:rsidR="00701B11" w:rsidRPr="00701B11">
        <w:t>989</w:t>
      </w:r>
      <w:r w:rsidR="00701B11">
        <w:t xml:space="preserve"> (</w:t>
      </w:r>
      <w:r w:rsidR="00701B11" w:rsidRPr="00701B11">
        <w:t>64</w:t>
      </w:r>
      <w:r w:rsidR="00701B11">
        <w:t>,</w:t>
      </w:r>
      <w:r w:rsidR="00701B11" w:rsidRPr="00701B11">
        <w:t>498</w:t>
      </w:r>
      <w:r w:rsidR="00701B11">
        <w:t xml:space="preserve"> cases, 46,828 proxy cases, and </w:t>
      </w:r>
      <w:r w:rsidR="00701B11" w:rsidRPr="00701B11">
        <w:t>677</w:t>
      </w:r>
      <w:r w:rsidR="00701B11">
        <w:t>,</w:t>
      </w:r>
      <w:r w:rsidR="00701B11" w:rsidRPr="00701B11">
        <w:t>643</w:t>
      </w:r>
      <w:r w:rsidR="00CD6DD1">
        <w:t xml:space="preserve"> </w:t>
      </w:r>
      <w:r w:rsidR="00701B11">
        <w:t xml:space="preserve">controls), identifying 75 loci associated with </w:t>
      </w:r>
      <w:r w:rsidR="00987B4C">
        <w:t>AD – of which 42 are novel</w:t>
      </w:r>
      <w:r w:rsidR="00701B11">
        <w:t xml:space="preserve">. </w:t>
      </w:r>
    </w:p>
    <w:p w14:paraId="3CC0716B" w14:textId="77777777" w:rsidR="00701B11" w:rsidRDefault="00701B11" w:rsidP="00701B11">
      <w:pPr>
        <w:jc w:val="both"/>
        <w:divId w:val="639775508"/>
      </w:pPr>
    </w:p>
    <w:p w14:paraId="529E4E77" w14:textId="77777777" w:rsidR="00701B11" w:rsidRDefault="00701B11" w:rsidP="00701B11">
      <w:pPr>
        <w:jc w:val="both"/>
        <w:divId w:val="639775508"/>
      </w:pPr>
    </w:p>
    <w:p w14:paraId="2F43D863" w14:textId="3DCBE85F" w:rsidR="00701B11" w:rsidRDefault="00701B11" w:rsidP="00701B11">
      <w:pPr>
        <w:jc w:val="both"/>
        <w:divId w:val="639775508"/>
        <w:sectPr w:rsidR="00701B11">
          <w:pgSz w:w="12240" w:h="15840"/>
          <w:pgMar w:top="1440" w:right="1440" w:bottom="1440" w:left="1440" w:header="720" w:footer="720" w:gutter="0"/>
          <w:cols w:space="720"/>
          <w:docGrid w:linePitch="360"/>
        </w:sectPr>
      </w:pPr>
    </w:p>
    <w:p w14:paraId="2663B717" w14:textId="71F9C33C" w:rsidR="00CC333D" w:rsidRPr="006927D4" w:rsidRDefault="006927D4">
      <w:pPr>
        <w:divId w:val="639775508"/>
        <w:rPr>
          <w:b/>
          <w:bCs/>
        </w:rPr>
      </w:pPr>
      <w:r>
        <w:rPr>
          <w:b/>
          <w:bCs/>
        </w:rPr>
        <w:lastRenderedPageBreak/>
        <w:t xml:space="preserve">References </w:t>
      </w:r>
    </w:p>
    <w:sdt>
      <w:sdtPr>
        <w:alias w:val="SmartCite Bibliography"/>
        <w:tag w:val="Journal of Alzheimer's Disease+{&quot;language&quot;:&quot;en-US&quot;}"/>
        <w:id w:val="-119539861"/>
        <w:placeholder>
          <w:docPart w:val="DefaultPlaceholder_-1854013440"/>
        </w:placeholder>
      </w:sdtPr>
      <w:sdtContent>
        <w:p w14:paraId="6E165F5A" w14:textId="77777777" w:rsidR="006927D4" w:rsidRPr="006927D4" w:rsidRDefault="006927D4">
          <w:pPr>
            <w:divId w:val="741486585"/>
            <w:rPr>
              <w:rFonts w:eastAsia="Times New Roman"/>
              <w:color w:val="000000"/>
              <w:szCs w:val="24"/>
            </w:rPr>
          </w:pPr>
        </w:p>
        <w:p w14:paraId="6B550417" w14:textId="77777777" w:rsidR="006927D4" w:rsidRPr="006927D4" w:rsidRDefault="006927D4">
          <w:pPr>
            <w:pStyle w:val="csl-entry"/>
            <w:divId w:val="741486585"/>
            <w:rPr>
              <w:rFonts w:ascii="Arial" w:hAnsi="Arial" w:cs="Arial"/>
              <w:color w:val="000000"/>
              <w:sz w:val="22"/>
            </w:rPr>
          </w:pPr>
          <w:r w:rsidRPr="006927D4">
            <w:rPr>
              <w:rFonts w:ascii="Arial" w:hAnsi="Arial" w:cs="Arial"/>
              <w:color w:val="000000"/>
              <w:sz w:val="22"/>
            </w:rPr>
            <w:t xml:space="preserve">[1] Andrews SJ, Fulton-Howard B, </w:t>
          </w:r>
          <w:proofErr w:type="spellStart"/>
          <w:r w:rsidRPr="006927D4">
            <w:rPr>
              <w:rFonts w:ascii="Arial" w:hAnsi="Arial" w:cs="Arial"/>
              <w:color w:val="000000"/>
              <w:sz w:val="22"/>
            </w:rPr>
            <w:t>Goate</w:t>
          </w:r>
          <w:proofErr w:type="spellEnd"/>
          <w:r w:rsidRPr="006927D4">
            <w:rPr>
              <w:rFonts w:ascii="Arial" w:hAnsi="Arial" w:cs="Arial"/>
              <w:color w:val="000000"/>
              <w:sz w:val="22"/>
            </w:rPr>
            <w:t xml:space="preserve"> A (2020) Interpretation of risk loci from genome-wide association studies of Alzheimer’s disease. </w:t>
          </w:r>
          <w:r w:rsidRPr="006927D4">
            <w:rPr>
              <w:rFonts w:ascii="Arial" w:hAnsi="Arial" w:cs="Arial"/>
              <w:i/>
              <w:iCs/>
              <w:color w:val="000000"/>
              <w:sz w:val="22"/>
            </w:rPr>
            <w:t>Lancet Neurology</w:t>
          </w:r>
          <w:r w:rsidRPr="006927D4">
            <w:rPr>
              <w:rFonts w:ascii="Arial" w:hAnsi="Arial" w:cs="Arial"/>
              <w:color w:val="000000"/>
              <w:sz w:val="22"/>
            </w:rPr>
            <w:t xml:space="preserve"> </w:t>
          </w:r>
          <w:r w:rsidRPr="006927D4">
            <w:rPr>
              <w:rFonts w:ascii="Arial" w:hAnsi="Arial" w:cs="Arial"/>
              <w:bCs/>
              <w:color w:val="000000"/>
              <w:sz w:val="22"/>
            </w:rPr>
            <w:t>19</w:t>
          </w:r>
          <w:r w:rsidRPr="006927D4">
            <w:rPr>
              <w:rFonts w:ascii="Arial" w:hAnsi="Arial" w:cs="Arial"/>
              <w:color w:val="000000"/>
              <w:sz w:val="22"/>
            </w:rPr>
            <w:t>, 326–335.</w:t>
          </w:r>
        </w:p>
        <w:p w14:paraId="378AE50F" w14:textId="77777777" w:rsidR="006927D4" w:rsidRPr="006927D4" w:rsidRDefault="006927D4">
          <w:pPr>
            <w:pStyle w:val="csl-entry"/>
            <w:divId w:val="741486585"/>
            <w:rPr>
              <w:rFonts w:ascii="Arial" w:hAnsi="Arial" w:cs="Arial"/>
              <w:color w:val="000000"/>
              <w:sz w:val="22"/>
            </w:rPr>
          </w:pPr>
          <w:r w:rsidRPr="006927D4">
            <w:rPr>
              <w:rFonts w:ascii="Arial" w:hAnsi="Arial" w:cs="Arial"/>
              <w:color w:val="000000"/>
              <w:sz w:val="22"/>
            </w:rPr>
            <w:t xml:space="preserve">[2] Jansen IE, Savage JE, Watanabe K, </w:t>
          </w:r>
          <w:proofErr w:type="spellStart"/>
          <w:r w:rsidRPr="006927D4">
            <w:rPr>
              <w:rFonts w:ascii="Arial" w:hAnsi="Arial" w:cs="Arial"/>
              <w:color w:val="000000"/>
              <w:sz w:val="22"/>
            </w:rPr>
            <w:t>Bryois</w:t>
          </w:r>
          <w:proofErr w:type="spellEnd"/>
          <w:r w:rsidRPr="006927D4">
            <w:rPr>
              <w:rFonts w:ascii="Arial" w:hAnsi="Arial" w:cs="Arial"/>
              <w:color w:val="000000"/>
              <w:sz w:val="22"/>
            </w:rPr>
            <w:t xml:space="preserve"> J, Williams DM, Steinberg S, </w:t>
          </w:r>
          <w:proofErr w:type="spellStart"/>
          <w:r w:rsidRPr="006927D4">
            <w:rPr>
              <w:rFonts w:ascii="Arial" w:hAnsi="Arial" w:cs="Arial"/>
              <w:color w:val="000000"/>
              <w:sz w:val="22"/>
            </w:rPr>
            <w:t>Sealock</w:t>
          </w:r>
          <w:proofErr w:type="spellEnd"/>
          <w:r w:rsidRPr="006927D4">
            <w:rPr>
              <w:rFonts w:ascii="Arial" w:hAnsi="Arial" w:cs="Arial"/>
              <w:color w:val="000000"/>
              <w:sz w:val="22"/>
            </w:rPr>
            <w:t xml:space="preserve"> J, Karlsson IK, </w:t>
          </w:r>
          <w:proofErr w:type="spellStart"/>
          <w:r w:rsidRPr="006927D4">
            <w:rPr>
              <w:rFonts w:ascii="Arial" w:hAnsi="Arial" w:cs="Arial"/>
              <w:color w:val="000000"/>
              <w:sz w:val="22"/>
            </w:rPr>
            <w:t>Hägg</w:t>
          </w:r>
          <w:proofErr w:type="spellEnd"/>
          <w:r w:rsidRPr="006927D4">
            <w:rPr>
              <w:rFonts w:ascii="Arial" w:hAnsi="Arial" w:cs="Arial"/>
              <w:color w:val="000000"/>
              <w:sz w:val="22"/>
            </w:rPr>
            <w:t xml:space="preserve"> S, </w:t>
          </w:r>
          <w:proofErr w:type="spellStart"/>
          <w:r w:rsidRPr="006927D4">
            <w:rPr>
              <w:rFonts w:ascii="Arial" w:hAnsi="Arial" w:cs="Arial"/>
              <w:color w:val="000000"/>
              <w:sz w:val="22"/>
            </w:rPr>
            <w:t>Athanasiu</w:t>
          </w:r>
          <w:proofErr w:type="spellEnd"/>
          <w:r w:rsidRPr="006927D4">
            <w:rPr>
              <w:rFonts w:ascii="Arial" w:hAnsi="Arial" w:cs="Arial"/>
              <w:color w:val="000000"/>
              <w:sz w:val="22"/>
            </w:rPr>
            <w:t xml:space="preserve"> L, </w:t>
          </w:r>
          <w:proofErr w:type="spellStart"/>
          <w:r w:rsidRPr="006927D4">
            <w:rPr>
              <w:rFonts w:ascii="Arial" w:hAnsi="Arial" w:cs="Arial"/>
              <w:color w:val="000000"/>
              <w:sz w:val="22"/>
            </w:rPr>
            <w:t>Voyle</w:t>
          </w:r>
          <w:proofErr w:type="spellEnd"/>
          <w:r w:rsidRPr="006927D4">
            <w:rPr>
              <w:rFonts w:ascii="Arial" w:hAnsi="Arial" w:cs="Arial"/>
              <w:color w:val="000000"/>
              <w:sz w:val="22"/>
            </w:rPr>
            <w:t xml:space="preserve"> N, </w:t>
          </w:r>
          <w:proofErr w:type="spellStart"/>
          <w:r w:rsidRPr="006927D4">
            <w:rPr>
              <w:rFonts w:ascii="Arial" w:hAnsi="Arial" w:cs="Arial"/>
              <w:color w:val="000000"/>
              <w:sz w:val="22"/>
            </w:rPr>
            <w:t>Proitsi</w:t>
          </w:r>
          <w:proofErr w:type="spellEnd"/>
          <w:r w:rsidRPr="006927D4">
            <w:rPr>
              <w:rFonts w:ascii="Arial" w:hAnsi="Arial" w:cs="Arial"/>
              <w:color w:val="000000"/>
              <w:sz w:val="22"/>
            </w:rPr>
            <w:t xml:space="preserve"> P, </w:t>
          </w:r>
          <w:proofErr w:type="spellStart"/>
          <w:r w:rsidRPr="006927D4">
            <w:rPr>
              <w:rFonts w:ascii="Arial" w:hAnsi="Arial" w:cs="Arial"/>
              <w:color w:val="000000"/>
              <w:sz w:val="22"/>
            </w:rPr>
            <w:t>Witoelar</w:t>
          </w:r>
          <w:proofErr w:type="spellEnd"/>
          <w:r w:rsidRPr="006927D4">
            <w:rPr>
              <w:rFonts w:ascii="Arial" w:hAnsi="Arial" w:cs="Arial"/>
              <w:color w:val="000000"/>
              <w:sz w:val="22"/>
            </w:rPr>
            <w:t xml:space="preserve"> A, Stringer S, </w:t>
          </w:r>
          <w:proofErr w:type="spellStart"/>
          <w:r w:rsidRPr="006927D4">
            <w:rPr>
              <w:rFonts w:ascii="Arial" w:hAnsi="Arial" w:cs="Arial"/>
              <w:color w:val="000000"/>
              <w:sz w:val="22"/>
            </w:rPr>
            <w:t>Aarsland</w:t>
          </w:r>
          <w:proofErr w:type="spellEnd"/>
          <w:r w:rsidRPr="006927D4">
            <w:rPr>
              <w:rFonts w:ascii="Arial" w:hAnsi="Arial" w:cs="Arial"/>
              <w:color w:val="000000"/>
              <w:sz w:val="22"/>
            </w:rPr>
            <w:t xml:space="preserve"> D, </w:t>
          </w:r>
          <w:proofErr w:type="spellStart"/>
          <w:r w:rsidRPr="006927D4">
            <w:rPr>
              <w:rFonts w:ascii="Arial" w:hAnsi="Arial" w:cs="Arial"/>
              <w:color w:val="000000"/>
              <w:sz w:val="22"/>
            </w:rPr>
            <w:t>Almdahl</w:t>
          </w:r>
          <w:proofErr w:type="spellEnd"/>
          <w:r w:rsidRPr="006927D4">
            <w:rPr>
              <w:rFonts w:ascii="Arial" w:hAnsi="Arial" w:cs="Arial"/>
              <w:color w:val="000000"/>
              <w:sz w:val="22"/>
            </w:rPr>
            <w:t xml:space="preserve"> IS, Andersen F, Bergh S, </w:t>
          </w:r>
          <w:proofErr w:type="spellStart"/>
          <w:r w:rsidRPr="006927D4">
            <w:rPr>
              <w:rFonts w:ascii="Arial" w:hAnsi="Arial" w:cs="Arial"/>
              <w:color w:val="000000"/>
              <w:sz w:val="22"/>
            </w:rPr>
            <w:t>Bettella</w:t>
          </w:r>
          <w:proofErr w:type="spellEnd"/>
          <w:r w:rsidRPr="006927D4">
            <w:rPr>
              <w:rFonts w:ascii="Arial" w:hAnsi="Arial" w:cs="Arial"/>
              <w:color w:val="000000"/>
              <w:sz w:val="22"/>
            </w:rPr>
            <w:t xml:space="preserve"> F, </w:t>
          </w:r>
          <w:proofErr w:type="spellStart"/>
          <w:r w:rsidRPr="006927D4">
            <w:rPr>
              <w:rFonts w:ascii="Arial" w:hAnsi="Arial" w:cs="Arial"/>
              <w:color w:val="000000"/>
              <w:sz w:val="22"/>
            </w:rPr>
            <w:t>Bjornsson</w:t>
          </w:r>
          <w:proofErr w:type="spellEnd"/>
          <w:r w:rsidRPr="006927D4">
            <w:rPr>
              <w:rFonts w:ascii="Arial" w:hAnsi="Arial" w:cs="Arial"/>
              <w:color w:val="000000"/>
              <w:sz w:val="22"/>
            </w:rPr>
            <w:t xml:space="preserve"> S, </w:t>
          </w:r>
          <w:proofErr w:type="spellStart"/>
          <w:r w:rsidRPr="006927D4">
            <w:rPr>
              <w:rFonts w:ascii="Arial" w:hAnsi="Arial" w:cs="Arial"/>
              <w:color w:val="000000"/>
              <w:sz w:val="22"/>
            </w:rPr>
            <w:t>Brækhus</w:t>
          </w:r>
          <w:proofErr w:type="spellEnd"/>
          <w:r w:rsidRPr="006927D4">
            <w:rPr>
              <w:rFonts w:ascii="Arial" w:hAnsi="Arial" w:cs="Arial"/>
              <w:color w:val="000000"/>
              <w:sz w:val="22"/>
            </w:rPr>
            <w:t xml:space="preserve"> A, </w:t>
          </w:r>
          <w:proofErr w:type="spellStart"/>
          <w:r w:rsidRPr="006927D4">
            <w:rPr>
              <w:rFonts w:ascii="Arial" w:hAnsi="Arial" w:cs="Arial"/>
              <w:color w:val="000000"/>
              <w:sz w:val="22"/>
            </w:rPr>
            <w:t>Bråthen</w:t>
          </w:r>
          <w:proofErr w:type="spellEnd"/>
          <w:r w:rsidRPr="006927D4">
            <w:rPr>
              <w:rFonts w:ascii="Arial" w:hAnsi="Arial" w:cs="Arial"/>
              <w:color w:val="000000"/>
              <w:sz w:val="22"/>
            </w:rPr>
            <w:t xml:space="preserve"> G, Leeuw C de, </w:t>
          </w:r>
          <w:proofErr w:type="spellStart"/>
          <w:r w:rsidRPr="006927D4">
            <w:rPr>
              <w:rFonts w:ascii="Arial" w:hAnsi="Arial" w:cs="Arial"/>
              <w:color w:val="000000"/>
              <w:sz w:val="22"/>
            </w:rPr>
            <w:t>Desikan</w:t>
          </w:r>
          <w:proofErr w:type="spellEnd"/>
          <w:r w:rsidRPr="006927D4">
            <w:rPr>
              <w:rFonts w:ascii="Arial" w:hAnsi="Arial" w:cs="Arial"/>
              <w:color w:val="000000"/>
              <w:sz w:val="22"/>
            </w:rPr>
            <w:t xml:space="preserve"> RS, </w:t>
          </w:r>
          <w:proofErr w:type="spellStart"/>
          <w:r w:rsidRPr="006927D4">
            <w:rPr>
              <w:rFonts w:ascii="Arial" w:hAnsi="Arial" w:cs="Arial"/>
              <w:color w:val="000000"/>
              <w:sz w:val="22"/>
            </w:rPr>
            <w:t>Djurovic</w:t>
          </w:r>
          <w:proofErr w:type="spellEnd"/>
          <w:r w:rsidRPr="006927D4">
            <w:rPr>
              <w:rFonts w:ascii="Arial" w:hAnsi="Arial" w:cs="Arial"/>
              <w:color w:val="000000"/>
              <w:sz w:val="22"/>
            </w:rPr>
            <w:t xml:space="preserve"> S, </w:t>
          </w:r>
          <w:proofErr w:type="spellStart"/>
          <w:r w:rsidRPr="006927D4">
            <w:rPr>
              <w:rFonts w:ascii="Arial" w:hAnsi="Arial" w:cs="Arial"/>
              <w:color w:val="000000"/>
              <w:sz w:val="22"/>
            </w:rPr>
            <w:t>Dumitrescu</w:t>
          </w:r>
          <w:proofErr w:type="spellEnd"/>
          <w:r w:rsidRPr="006927D4">
            <w:rPr>
              <w:rFonts w:ascii="Arial" w:hAnsi="Arial" w:cs="Arial"/>
              <w:color w:val="000000"/>
              <w:sz w:val="22"/>
            </w:rPr>
            <w:t xml:space="preserve"> L, </w:t>
          </w:r>
          <w:proofErr w:type="spellStart"/>
          <w:r w:rsidRPr="006927D4">
            <w:rPr>
              <w:rFonts w:ascii="Arial" w:hAnsi="Arial" w:cs="Arial"/>
              <w:color w:val="000000"/>
              <w:sz w:val="22"/>
            </w:rPr>
            <w:t>Fladby</w:t>
          </w:r>
          <w:proofErr w:type="spellEnd"/>
          <w:r w:rsidRPr="006927D4">
            <w:rPr>
              <w:rFonts w:ascii="Arial" w:hAnsi="Arial" w:cs="Arial"/>
              <w:color w:val="000000"/>
              <w:sz w:val="22"/>
            </w:rPr>
            <w:t xml:space="preserve"> T, Hohman TJ, Jonsson PV, </w:t>
          </w:r>
          <w:proofErr w:type="spellStart"/>
          <w:r w:rsidRPr="006927D4">
            <w:rPr>
              <w:rFonts w:ascii="Arial" w:hAnsi="Arial" w:cs="Arial"/>
              <w:color w:val="000000"/>
              <w:sz w:val="22"/>
            </w:rPr>
            <w:t>Kiddle</w:t>
          </w:r>
          <w:proofErr w:type="spellEnd"/>
          <w:r w:rsidRPr="006927D4">
            <w:rPr>
              <w:rFonts w:ascii="Arial" w:hAnsi="Arial" w:cs="Arial"/>
              <w:color w:val="000000"/>
              <w:sz w:val="22"/>
            </w:rPr>
            <w:t xml:space="preserve"> SJ, </w:t>
          </w:r>
          <w:proofErr w:type="spellStart"/>
          <w:r w:rsidRPr="006927D4">
            <w:rPr>
              <w:rFonts w:ascii="Arial" w:hAnsi="Arial" w:cs="Arial"/>
              <w:color w:val="000000"/>
              <w:sz w:val="22"/>
            </w:rPr>
            <w:t>Rongve</w:t>
          </w:r>
          <w:proofErr w:type="spellEnd"/>
          <w:r w:rsidRPr="006927D4">
            <w:rPr>
              <w:rFonts w:ascii="Arial" w:hAnsi="Arial" w:cs="Arial"/>
              <w:color w:val="000000"/>
              <w:sz w:val="22"/>
            </w:rPr>
            <w:t xml:space="preserve"> A, </w:t>
          </w:r>
          <w:proofErr w:type="spellStart"/>
          <w:r w:rsidRPr="006927D4">
            <w:rPr>
              <w:rFonts w:ascii="Arial" w:hAnsi="Arial" w:cs="Arial"/>
              <w:color w:val="000000"/>
              <w:sz w:val="22"/>
            </w:rPr>
            <w:t>Saltvedt</w:t>
          </w:r>
          <w:proofErr w:type="spellEnd"/>
          <w:r w:rsidRPr="006927D4">
            <w:rPr>
              <w:rFonts w:ascii="Arial" w:hAnsi="Arial" w:cs="Arial"/>
              <w:color w:val="000000"/>
              <w:sz w:val="22"/>
            </w:rPr>
            <w:t xml:space="preserve"> I, Sando SB, </w:t>
          </w:r>
          <w:proofErr w:type="spellStart"/>
          <w:r w:rsidRPr="006927D4">
            <w:rPr>
              <w:rFonts w:ascii="Arial" w:hAnsi="Arial" w:cs="Arial"/>
              <w:color w:val="000000"/>
              <w:sz w:val="22"/>
            </w:rPr>
            <w:t>Selbæk</w:t>
          </w:r>
          <w:proofErr w:type="spellEnd"/>
          <w:r w:rsidRPr="006927D4">
            <w:rPr>
              <w:rFonts w:ascii="Arial" w:hAnsi="Arial" w:cs="Arial"/>
              <w:color w:val="000000"/>
              <w:sz w:val="22"/>
            </w:rPr>
            <w:t xml:space="preserve"> G, </w:t>
          </w:r>
          <w:proofErr w:type="spellStart"/>
          <w:r w:rsidRPr="006927D4">
            <w:rPr>
              <w:rFonts w:ascii="Arial" w:hAnsi="Arial" w:cs="Arial"/>
              <w:color w:val="000000"/>
              <w:sz w:val="22"/>
            </w:rPr>
            <w:t>Shoai</w:t>
          </w:r>
          <w:proofErr w:type="spellEnd"/>
          <w:r w:rsidRPr="006927D4">
            <w:rPr>
              <w:rFonts w:ascii="Arial" w:hAnsi="Arial" w:cs="Arial"/>
              <w:color w:val="000000"/>
              <w:sz w:val="22"/>
            </w:rPr>
            <w:t xml:space="preserve"> M, Skene NG, </w:t>
          </w:r>
          <w:proofErr w:type="spellStart"/>
          <w:r w:rsidRPr="006927D4">
            <w:rPr>
              <w:rFonts w:ascii="Arial" w:hAnsi="Arial" w:cs="Arial"/>
              <w:color w:val="000000"/>
              <w:sz w:val="22"/>
            </w:rPr>
            <w:t>Snaedal</w:t>
          </w:r>
          <w:proofErr w:type="spellEnd"/>
          <w:r w:rsidRPr="006927D4">
            <w:rPr>
              <w:rFonts w:ascii="Arial" w:hAnsi="Arial" w:cs="Arial"/>
              <w:color w:val="000000"/>
              <w:sz w:val="22"/>
            </w:rPr>
            <w:t xml:space="preserve"> J, </w:t>
          </w:r>
          <w:proofErr w:type="spellStart"/>
          <w:r w:rsidRPr="006927D4">
            <w:rPr>
              <w:rFonts w:ascii="Arial" w:hAnsi="Arial" w:cs="Arial"/>
              <w:color w:val="000000"/>
              <w:sz w:val="22"/>
            </w:rPr>
            <w:t>Stordal</w:t>
          </w:r>
          <w:proofErr w:type="spellEnd"/>
          <w:r w:rsidRPr="006927D4">
            <w:rPr>
              <w:rFonts w:ascii="Arial" w:hAnsi="Arial" w:cs="Arial"/>
              <w:color w:val="000000"/>
              <w:sz w:val="22"/>
            </w:rPr>
            <w:t xml:space="preserve"> E, </w:t>
          </w:r>
          <w:proofErr w:type="spellStart"/>
          <w:r w:rsidRPr="006927D4">
            <w:rPr>
              <w:rFonts w:ascii="Arial" w:hAnsi="Arial" w:cs="Arial"/>
              <w:color w:val="000000"/>
              <w:sz w:val="22"/>
            </w:rPr>
            <w:t>Ulstein</w:t>
          </w:r>
          <w:proofErr w:type="spellEnd"/>
          <w:r w:rsidRPr="006927D4">
            <w:rPr>
              <w:rFonts w:ascii="Arial" w:hAnsi="Arial" w:cs="Arial"/>
              <w:color w:val="000000"/>
              <w:sz w:val="22"/>
            </w:rPr>
            <w:t xml:space="preserve"> ID, Wang Y, White LR, Hardy J, </w:t>
          </w:r>
          <w:proofErr w:type="spellStart"/>
          <w:r w:rsidRPr="006927D4">
            <w:rPr>
              <w:rFonts w:ascii="Arial" w:hAnsi="Arial" w:cs="Arial"/>
              <w:color w:val="000000"/>
              <w:sz w:val="22"/>
            </w:rPr>
            <w:t>Hjerling</w:t>
          </w:r>
          <w:proofErr w:type="spellEnd"/>
          <w:r w:rsidRPr="006927D4">
            <w:rPr>
              <w:rFonts w:ascii="Arial" w:hAnsi="Arial" w:cs="Arial"/>
              <w:color w:val="000000"/>
              <w:sz w:val="22"/>
            </w:rPr>
            <w:t xml:space="preserve">-Leffler J, Sullivan PF, Flier WM van der, Dobson R, Davis LK, Stefansson H, Stefansson K, Pedersen NL, </w:t>
          </w:r>
          <w:proofErr w:type="spellStart"/>
          <w:r w:rsidRPr="006927D4">
            <w:rPr>
              <w:rFonts w:ascii="Arial" w:hAnsi="Arial" w:cs="Arial"/>
              <w:color w:val="000000"/>
              <w:sz w:val="22"/>
            </w:rPr>
            <w:t>Ripke</w:t>
          </w:r>
          <w:proofErr w:type="spellEnd"/>
          <w:r w:rsidRPr="006927D4">
            <w:rPr>
              <w:rFonts w:ascii="Arial" w:hAnsi="Arial" w:cs="Arial"/>
              <w:color w:val="000000"/>
              <w:sz w:val="22"/>
            </w:rPr>
            <w:t xml:space="preserve"> S, </w:t>
          </w:r>
          <w:proofErr w:type="spellStart"/>
          <w:r w:rsidRPr="006927D4">
            <w:rPr>
              <w:rFonts w:ascii="Arial" w:hAnsi="Arial" w:cs="Arial"/>
              <w:color w:val="000000"/>
              <w:sz w:val="22"/>
            </w:rPr>
            <w:t>Andreassen</w:t>
          </w:r>
          <w:proofErr w:type="spellEnd"/>
          <w:r w:rsidRPr="006927D4">
            <w:rPr>
              <w:rFonts w:ascii="Arial" w:hAnsi="Arial" w:cs="Arial"/>
              <w:color w:val="000000"/>
              <w:sz w:val="22"/>
            </w:rPr>
            <w:t xml:space="preserve"> OA, </w:t>
          </w:r>
          <w:proofErr w:type="spellStart"/>
          <w:r w:rsidRPr="006927D4">
            <w:rPr>
              <w:rFonts w:ascii="Arial" w:hAnsi="Arial" w:cs="Arial"/>
              <w:color w:val="000000"/>
              <w:sz w:val="22"/>
            </w:rPr>
            <w:t>Posthuma</w:t>
          </w:r>
          <w:proofErr w:type="spellEnd"/>
          <w:r w:rsidRPr="006927D4">
            <w:rPr>
              <w:rFonts w:ascii="Arial" w:hAnsi="Arial" w:cs="Arial"/>
              <w:color w:val="000000"/>
              <w:sz w:val="22"/>
            </w:rPr>
            <w:t xml:space="preserve"> D (2019) Genome-wide meta-analysis identifies new loci and functional pathways influencing Alzheimer’s disease risk. </w:t>
          </w:r>
          <w:r w:rsidRPr="006927D4">
            <w:rPr>
              <w:rFonts w:ascii="Arial" w:hAnsi="Arial" w:cs="Arial"/>
              <w:i/>
              <w:iCs/>
              <w:color w:val="000000"/>
              <w:sz w:val="22"/>
            </w:rPr>
            <w:t>Nat Genet</w:t>
          </w:r>
          <w:r w:rsidRPr="006927D4">
            <w:rPr>
              <w:rFonts w:ascii="Arial" w:hAnsi="Arial" w:cs="Arial"/>
              <w:color w:val="000000"/>
              <w:sz w:val="22"/>
            </w:rPr>
            <w:t xml:space="preserve"> </w:t>
          </w:r>
          <w:r w:rsidRPr="006927D4">
            <w:rPr>
              <w:rFonts w:ascii="Arial" w:hAnsi="Arial" w:cs="Arial"/>
              <w:bCs/>
              <w:color w:val="000000"/>
              <w:sz w:val="22"/>
            </w:rPr>
            <w:t>51</w:t>
          </w:r>
          <w:r w:rsidRPr="006927D4">
            <w:rPr>
              <w:rFonts w:ascii="Arial" w:hAnsi="Arial" w:cs="Arial"/>
              <w:color w:val="000000"/>
              <w:sz w:val="22"/>
            </w:rPr>
            <w:t>, 404–413.</w:t>
          </w:r>
        </w:p>
        <w:p w14:paraId="66825048" w14:textId="77777777" w:rsidR="006927D4" w:rsidRPr="006927D4" w:rsidRDefault="006927D4">
          <w:pPr>
            <w:pStyle w:val="csl-entry"/>
            <w:divId w:val="741486585"/>
            <w:rPr>
              <w:rFonts w:ascii="Arial" w:hAnsi="Arial" w:cs="Arial"/>
              <w:color w:val="000000"/>
              <w:sz w:val="22"/>
            </w:rPr>
          </w:pPr>
          <w:r w:rsidRPr="006927D4">
            <w:rPr>
              <w:rFonts w:ascii="Arial" w:hAnsi="Arial" w:cs="Arial"/>
              <w:color w:val="000000"/>
              <w:sz w:val="22"/>
            </w:rPr>
            <w:t xml:space="preserve">[3] Wightman DP, Jansen IE, Savage JE, </w:t>
          </w:r>
          <w:proofErr w:type="spellStart"/>
          <w:r w:rsidRPr="006927D4">
            <w:rPr>
              <w:rFonts w:ascii="Arial" w:hAnsi="Arial" w:cs="Arial"/>
              <w:color w:val="000000"/>
              <w:sz w:val="22"/>
            </w:rPr>
            <w:t>Shadrin</w:t>
          </w:r>
          <w:proofErr w:type="spellEnd"/>
          <w:r w:rsidRPr="006927D4">
            <w:rPr>
              <w:rFonts w:ascii="Arial" w:hAnsi="Arial" w:cs="Arial"/>
              <w:color w:val="000000"/>
              <w:sz w:val="22"/>
            </w:rPr>
            <w:t xml:space="preserve"> AA, </w:t>
          </w:r>
          <w:proofErr w:type="spellStart"/>
          <w:r w:rsidRPr="006927D4">
            <w:rPr>
              <w:rFonts w:ascii="Arial" w:hAnsi="Arial" w:cs="Arial"/>
              <w:color w:val="000000"/>
              <w:sz w:val="22"/>
            </w:rPr>
            <w:t>Bahrami</w:t>
          </w:r>
          <w:proofErr w:type="spellEnd"/>
          <w:r w:rsidRPr="006927D4">
            <w:rPr>
              <w:rFonts w:ascii="Arial" w:hAnsi="Arial" w:cs="Arial"/>
              <w:color w:val="000000"/>
              <w:sz w:val="22"/>
            </w:rPr>
            <w:t xml:space="preserve"> S, Holland D, </w:t>
          </w:r>
          <w:proofErr w:type="spellStart"/>
          <w:r w:rsidRPr="006927D4">
            <w:rPr>
              <w:rFonts w:ascii="Arial" w:hAnsi="Arial" w:cs="Arial"/>
              <w:color w:val="000000"/>
              <w:sz w:val="22"/>
            </w:rPr>
            <w:t>Rongve</w:t>
          </w:r>
          <w:proofErr w:type="spellEnd"/>
          <w:r w:rsidRPr="006927D4">
            <w:rPr>
              <w:rFonts w:ascii="Arial" w:hAnsi="Arial" w:cs="Arial"/>
              <w:color w:val="000000"/>
              <w:sz w:val="22"/>
            </w:rPr>
            <w:t xml:space="preserve"> A, </w:t>
          </w:r>
          <w:proofErr w:type="spellStart"/>
          <w:r w:rsidRPr="006927D4">
            <w:rPr>
              <w:rFonts w:ascii="Arial" w:hAnsi="Arial" w:cs="Arial"/>
              <w:color w:val="000000"/>
              <w:sz w:val="22"/>
            </w:rPr>
            <w:t>Børte</w:t>
          </w:r>
          <w:proofErr w:type="spellEnd"/>
          <w:r w:rsidRPr="006927D4">
            <w:rPr>
              <w:rFonts w:ascii="Arial" w:hAnsi="Arial" w:cs="Arial"/>
              <w:color w:val="000000"/>
              <w:sz w:val="22"/>
            </w:rPr>
            <w:t xml:space="preserve"> S, </w:t>
          </w:r>
          <w:proofErr w:type="spellStart"/>
          <w:r w:rsidRPr="006927D4">
            <w:rPr>
              <w:rFonts w:ascii="Arial" w:hAnsi="Arial" w:cs="Arial"/>
              <w:color w:val="000000"/>
              <w:sz w:val="22"/>
            </w:rPr>
            <w:t>Winsvold</w:t>
          </w:r>
          <w:proofErr w:type="spellEnd"/>
          <w:r w:rsidRPr="006927D4">
            <w:rPr>
              <w:rFonts w:ascii="Arial" w:hAnsi="Arial" w:cs="Arial"/>
              <w:color w:val="000000"/>
              <w:sz w:val="22"/>
            </w:rPr>
            <w:t xml:space="preserve"> BS, </w:t>
          </w:r>
          <w:proofErr w:type="spellStart"/>
          <w:r w:rsidRPr="006927D4">
            <w:rPr>
              <w:rFonts w:ascii="Arial" w:hAnsi="Arial" w:cs="Arial"/>
              <w:color w:val="000000"/>
              <w:sz w:val="22"/>
            </w:rPr>
            <w:t>Drange</w:t>
          </w:r>
          <w:proofErr w:type="spellEnd"/>
          <w:r w:rsidRPr="006927D4">
            <w:rPr>
              <w:rFonts w:ascii="Arial" w:hAnsi="Arial" w:cs="Arial"/>
              <w:color w:val="000000"/>
              <w:sz w:val="22"/>
            </w:rPr>
            <w:t xml:space="preserve"> OK, Martinsen AE, </w:t>
          </w:r>
          <w:proofErr w:type="spellStart"/>
          <w:r w:rsidRPr="006927D4">
            <w:rPr>
              <w:rFonts w:ascii="Arial" w:hAnsi="Arial" w:cs="Arial"/>
              <w:color w:val="000000"/>
              <w:sz w:val="22"/>
            </w:rPr>
            <w:t>Skogholt</w:t>
          </w:r>
          <w:proofErr w:type="spellEnd"/>
          <w:r w:rsidRPr="006927D4">
            <w:rPr>
              <w:rFonts w:ascii="Arial" w:hAnsi="Arial" w:cs="Arial"/>
              <w:color w:val="000000"/>
              <w:sz w:val="22"/>
            </w:rPr>
            <w:t xml:space="preserve"> AH, Willer C, </w:t>
          </w:r>
          <w:proofErr w:type="spellStart"/>
          <w:r w:rsidRPr="006927D4">
            <w:rPr>
              <w:rFonts w:ascii="Arial" w:hAnsi="Arial" w:cs="Arial"/>
              <w:color w:val="000000"/>
              <w:sz w:val="22"/>
            </w:rPr>
            <w:t>Bråthen</w:t>
          </w:r>
          <w:proofErr w:type="spellEnd"/>
          <w:r w:rsidRPr="006927D4">
            <w:rPr>
              <w:rFonts w:ascii="Arial" w:hAnsi="Arial" w:cs="Arial"/>
              <w:color w:val="000000"/>
              <w:sz w:val="22"/>
            </w:rPr>
            <w:t xml:space="preserve"> G, </w:t>
          </w:r>
          <w:proofErr w:type="spellStart"/>
          <w:r w:rsidRPr="006927D4">
            <w:rPr>
              <w:rFonts w:ascii="Arial" w:hAnsi="Arial" w:cs="Arial"/>
              <w:color w:val="000000"/>
              <w:sz w:val="22"/>
            </w:rPr>
            <w:t>Bosnes</w:t>
          </w:r>
          <w:proofErr w:type="spellEnd"/>
          <w:r w:rsidRPr="006927D4">
            <w:rPr>
              <w:rFonts w:ascii="Arial" w:hAnsi="Arial" w:cs="Arial"/>
              <w:color w:val="000000"/>
              <w:sz w:val="22"/>
            </w:rPr>
            <w:t xml:space="preserve"> I, Nielsen JB, Fritsche LG, Thomas LF, Pedersen LM, </w:t>
          </w:r>
          <w:proofErr w:type="spellStart"/>
          <w:r w:rsidRPr="006927D4">
            <w:rPr>
              <w:rFonts w:ascii="Arial" w:hAnsi="Arial" w:cs="Arial"/>
              <w:color w:val="000000"/>
              <w:sz w:val="22"/>
            </w:rPr>
            <w:t>Gabrielsen</w:t>
          </w:r>
          <w:proofErr w:type="spellEnd"/>
          <w:r w:rsidRPr="006927D4">
            <w:rPr>
              <w:rFonts w:ascii="Arial" w:hAnsi="Arial" w:cs="Arial"/>
              <w:color w:val="000000"/>
              <w:sz w:val="22"/>
            </w:rPr>
            <w:t xml:space="preserve"> ME, Johnsen MB, </w:t>
          </w:r>
          <w:proofErr w:type="spellStart"/>
          <w:r w:rsidRPr="006927D4">
            <w:rPr>
              <w:rFonts w:ascii="Arial" w:hAnsi="Arial" w:cs="Arial"/>
              <w:color w:val="000000"/>
              <w:sz w:val="22"/>
            </w:rPr>
            <w:t>Meisingset</w:t>
          </w:r>
          <w:proofErr w:type="spellEnd"/>
          <w:r w:rsidRPr="006927D4">
            <w:rPr>
              <w:rFonts w:ascii="Arial" w:hAnsi="Arial" w:cs="Arial"/>
              <w:color w:val="000000"/>
              <w:sz w:val="22"/>
            </w:rPr>
            <w:t xml:space="preserve"> TW, Zhou W, </w:t>
          </w:r>
          <w:proofErr w:type="spellStart"/>
          <w:r w:rsidRPr="006927D4">
            <w:rPr>
              <w:rFonts w:ascii="Arial" w:hAnsi="Arial" w:cs="Arial"/>
              <w:color w:val="000000"/>
              <w:sz w:val="22"/>
            </w:rPr>
            <w:t>Proitsi</w:t>
          </w:r>
          <w:proofErr w:type="spellEnd"/>
          <w:r w:rsidRPr="006927D4">
            <w:rPr>
              <w:rFonts w:ascii="Arial" w:hAnsi="Arial" w:cs="Arial"/>
              <w:color w:val="000000"/>
              <w:sz w:val="22"/>
            </w:rPr>
            <w:t xml:space="preserve"> P, Hodges A, Dobson R, </w:t>
          </w:r>
          <w:proofErr w:type="spellStart"/>
          <w:r w:rsidRPr="006927D4">
            <w:rPr>
              <w:rFonts w:ascii="Arial" w:hAnsi="Arial" w:cs="Arial"/>
              <w:color w:val="000000"/>
              <w:sz w:val="22"/>
            </w:rPr>
            <w:t>Velayudhan</w:t>
          </w:r>
          <w:proofErr w:type="spellEnd"/>
          <w:r w:rsidRPr="006927D4">
            <w:rPr>
              <w:rFonts w:ascii="Arial" w:hAnsi="Arial" w:cs="Arial"/>
              <w:color w:val="000000"/>
              <w:sz w:val="22"/>
            </w:rPr>
            <w:t xml:space="preserve"> L, Agee M, </w:t>
          </w:r>
          <w:proofErr w:type="spellStart"/>
          <w:r w:rsidRPr="006927D4">
            <w:rPr>
              <w:rFonts w:ascii="Arial" w:hAnsi="Arial" w:cs="Arial"/>
              <w:color w:val="000000"/>
              <w:sz w:val="22"/>
            </w:rPr>
            <w:t>Aslibekyan</w:t>
          </w:r>
          <w:proofErr w:type="spellEnd"/>
          <w:r w:rsidRPr="006927D4">
            <w:rPr>
              <w:rFonts w:ascii="Arial" w:hAnsi="Arial" w:cs="Arial"/>
              <w:color w:val="000000"/>
              <w:sz w:val="22"/>
            </w:rPr>
            <w:t xml:space="preserve"> S, Babalola E, Bell RK, Bielenberg J, </w:t>
          </w:r>
          <w:proofErr w:type="spellStart"/>
          <w:r w:rsidRPr="006927D4">
            <w:rPr>
              <w:rFonts w:ascii="Arial" w:hAnsi="Arial" w:cs="Arial"/>
              <w:color w:val="000000"/>
              <w:sz w:val="22"/>
            </w:rPr>
            <w:t>Bryc</w:t>
          </w:r>
          <w:proofErr w:type="spellEnd"/>
          <w:r w:rsidRPr="006927D4">
            <w:rPr>
              <w:rFonts w:ascii="Arial" w:hAnsi="Arial" w:cs="Arial"/>
              <w:color w:val="000000"/>
              <w:sz w:val="22"/>
            </w:rPr>
            <w:t xml:space="preserve"> K, </w:t>
          </w:r>
          <w:proofErr w:type="spellStart"/>
          <w:r w:rsidRPr="006927D4">
            <w:rPr>
              <w:rFonts w:ascii="Arial" w:hAnsi="Arial" w:cs="Arial"/>
              <w:color w:val="000000"/>
              <w:sz w:val="22"/>
            </w:rPr>
            <w:t>Bullis</w:t>
          </w:r>
          <w:proofErr w:type="spellEnd"/>
          <w:r w:rsidRPr="006927D4">
            <w:rPr>
              <w:rFonts w:ascii="Arial" w:hAnsi="Arial" w:cs="Arial"/>
              <w:color w:val="000000"/>
              <w:sz w:val="22"/>
            </w:rPr>
            <w:t xml:space="preserve"> E, Cameron B, Coker D, </w:t>
          </w:r>
          <w:proofErr w:type="spellStart"/>
          <w:r w:rsidRPr="006927D4">
            <w:rPr>
              <w:rFonts w:ascii="Arial" w:hAnsi="Arial" w:cs="Arial"/>
              <w:color w:val="000000"/>
              <w:sz w:val="22"/>
            </w:rPr>
            <w:t>Partida</w:t>
          </w:r>
          <w:proofErr w:type="spellEnd"/>
          <w:r w:rsidRPr="006927D4">
            <w:rPr>
              <w:rFonts w:ascii="Arial" w:hAnsi="Arial" w:cs="Arial"/>
              <w:color w:val="000000"/>
              <w:sz w:val="22"/>
            </w:rPr>
            <w:t xml:space="preserve"> GC, Dhamija D, Das S, Elson SL, </w:t>
          </w:r>
          <w:proofErr w:type="spellStart"/>
          <w:r w:rsidRPr="006927D4">
            <w:rPr>
              <w:rFonts w:ascii="Arial" w:hAnsi="Arial" w:cs="Arial"/>
              <w:color w:val="000000"/>
              <w:sz w:val="22"/>
            </w:rPr>
            <w:t>Filshtein</w:t>
          </w:r>
          <w:proofErr w:type="spellEnd"/>
          <w:r w:rsidRPr="006927D4">
            <w:rPr>
              <w:rFonts w:ascii="Arial" w:hAnsi="Arial" w:cs="Arial"/>
              <w:color w:val="000000"/>
              <w:sz w:val="22"/>
            </w:rPr>
            <w:t xml:space="preserve"> T, </w:t>
          </w:r>
          <w:proofErr w:type="spellStart"/>
          <w:r w:rsidRPr="006927D4">
            <w:rPr>
              <w:rFonts w:ascii="Arial" w:hAnsi="Arial" w:cs="Arial"/>
              <w:color w:val="000000"/>
              <w:sz w:val="22"/>
            </w:rPr>
            <w:t>Fletez</w:t>
          </w:r>
          <w:proofErr w:type="spellEnd"/>
          <w:r w:rsidRPr="006927D4">
            <w:rPr>
              <w:rFonts w:ascii="Arial" w:hAnsi="Arial" w:cs="Arial"/>
              <w:color w:val="000000"/>
              <w:sz w:val="22"/>
            </w:rPr>
            <w:t xml:space="preserve">-Brant K, </w:t>
          </w:r>
          <w:proofErr w:type="spellStart"/>
          <w:r w:rsidRPr="006927D4">
            <w:rPr>
              <w:rFonts w:ascii="Arial" w:hAnsi="Arial" w:cs="Arial"/>
              <w:color w:val="000000"/>
              <w:sz w:val="22"/>
            </w:rPr>
            <w:t>Fontanillas</w:t>
          </w:r>
          <w:proofErr w:type="spellEnd"/>
          <w:r w:rsidRPr="006927D4">
            <w:rPr>
              <w:rFonts w:ascii="Arial" w:hAnsi="Arial" w:cs="Arial"/>
              <w:color w:val="000000"/>
              <w:sz w:val="22"/>
            </w:rPr>
            <w:t xml:space="preserve"> P, </w:t>
          </w:r>
          <w:proofErr w:type="spellStart"/>
          <w:r w:rsidRPr="006927D4">
            <w:rPr>
              <w:rFonts w:ascii="Arial" w:hAnsi="Arial" w:cs="Arial"/>
              <w:color w:val="000000"/>
              <w:sz w:val="22"/>
            </w:rPr>
            <w:t>Freyman</w:t>
          </w:r>
          <w:proofErr w:type="spellEnd"/>
          <w:r w:rsidRPr="006927D4">
            <w:rPr>
              <w:rFonts w:ascii="Arial" w:hAnsi="Arial" w:cs="Arial"/>
              <w:color w:val="000000"/>
              <w:sz w:val="22"/>
            </w:rPr>
            <w:t xml:space="preserve"> W, Gandhi PM, Hicks B, Hinds DA, Huber KE, Jewett EM, Jiang Y, Kleinman A, </w:t>
          </w:r>
          <w:proofErr w:type="spellStart"/>
          <w:r w:rsidRPr="006927D4">
            <w:rPr>
              <w:rFonts w:ascii="Arial" w:hAnsi="Arial" w:cs="Arial"/>
              <w:color w:val="000000"/>
              <w:sz w:val="22"/>
            </w:rPr>
            <w:t>Kukar</w:t>
          </w:r>
          <w:proofErr w:type="spellEnd"/>
          <w:r w:rsidRPr="006927D4">
            <w:rPr>
              <w:rFonts w:ascii="Arial" w:hAnsi="Arial" w:cs="Arial"/>
              <w:color w:val="000000"/>
              <w:sz w:val="22"/>
            </w:rPr>
            <w:t xml:space="preserve"> K, Lane V, Lin K-H, Lowe M, Luff MK, McCreight JC, McIntyre MH, McManus KF, </w:t>
          </w:r>
          <w:proofErr w:type="spellStart"/>
          <w:r w:rsidRPr="006927D4">
            <w:rPr>
              <w:rFonts w:ascii="Arial" w:hAnsi="Arial" w:cs="Arial"/>
              <w:color w:val="000000"/>
              <w:sz w:val="22"/>
            </w:rPr>
            <w:t>Micheletti</w:t>
          </w:r>
          <w:proofErr w:type="spellEnd"/>
          <w:r w:rsidRPr="006927D4">
            <w:rPr>
              <w:rFonts w:ascii="Arial" w:hAnsi="Arial" w:cs="Arial"/>
              <w:color w:val="000000"/>
              <w:sz w:val="22"/>
            </w:rPr>
            <w:t xml:space="preserve"> SJ, Moreno ME, Mountain JL, </w:t>
          </w:r>
          <w:proofErr w:type="spellStart"/>
          <w:r w:rsidRPr="006927D4">
            <w:rPr>
              <w:rFonts w:ascii="Arial" w:hAnsi="Arial" w:cs="Arial"/>
              <w:color w:val="000000"/>
              <w:sz w:val="22"/>
            </w:rPr>
            <w:t>Mozaffari</w:t>
          </w:r>
          <w:proofErr w:type="spellEnd"/>
          <w:r w:rsidRPr="006927D4">
            <w:rPr>
              <w:rFonts w:ascii="Arial" w:hAnsi="Arial" w:cs="Arial"/>
              <w:color w:val="000000"/>
              <w:sz w:val="22"/>
            </w:rPr>
            <w:t xml:space="preserve"> SV, Nandakumar P, </w:t>
          </w:r>
          <w:proofErr w:type="spellStart"/>
          <w:r w:rsidRPr="006927D4">
            <w:rPr>
              <w:rFonts w:ascii="Arial" w:hAnsi="Arial" w:cs="Arial"/>
              <w:color w:val="000000"/>
              <w:sz w:val="22"/>
            </w:rPr>
            <w:t>Noblin</w:t>
          </w:r>
          <w:proofErr w:type="spellEnd"/>
          <w:r w:rsidRPr="006927D4">
            <w:rPr>
              <w:rFonts w:ascii="Arial" w:hAnsi="Arial" w:cs="Arial"/>
              <w:color w:val="000000"/>
              <w:sz w:val="22"/>
            </w:rPr>
            <w:t xml:space="preserve"> ES, O’Connell J, </w:t>
          </w:r>
          <w:proofErr w:type="spellStart"/>
          <w:r w:rsidRPr="006927D4">
            <w:rPr>
              <w:rFonts w:ascii="Arial" w:hAnsi="Arial" w:cs="Arial"/>
              <w:color w:val="000000"/>
              <w:sz w:val="22"/>
            </w:rPr>
            <w:t>Petrakovitz</w:t>
          </w:r>
          <w:proofErr w:type="spellEnd"/>
          <w:r w:rsidRPr="006927D4">
            <w:rPr>
              <w:rFonts w:ascii="Arial" w:hAnsi="Arial" w:cs="Arial"/>
              <w:color w:val="000000"/>
              <w:sz w:val="22"/>
            </w:rPr>
            <w:t xml:space="preserve"> AA, </w:t>
          </w:r>
          <w:proofErr w:type="spellStart"/>
          <w:r w:rsidRPr="006927D4">
            <w:rPr>
              <w:rFonts w:ascii="Arial" w:hAnsi="Arial" w:cs="Arial"/>
              <w:color w:val="000000"/>
              <w:sz w:val="22"/>
            </w:rPr>
            <w:t>Poznik</w:t>
          </w:r>
          <w:proofErr w:type="spellEnd"/>
          <w:r w:rsidRPr="006927D4">
            <w:rPr>
              <w:rFonts w:ascii="Arial" w:hAnsi="Arial" w:cs="Arial"/>
              <w:color w:val="000000"/>
              <w:sz w:val="22"/>
            </w:rPr>
            <w:t xml:space="preserve"> GD, Schumacher M, Shastri AJ, Shelton JF, Shi J, </w:t>
          </w:r>
          <w:proofErr w:type="spellStart"/>
          <w:r w:rsidRPr="006927D4">
            <w:rPr>
              <w:rFonts w:ascii="Arial" w:hAnsi="Arial" w:cs="Arial"/>
              <w:color w:val="000000"/>
              <w:sz w:val="22"/>
            </w:rPr>
            <w:t>Shringarpure</w:t>
          </w:r>
          <w:proofErr w:type="spellEnd"/>
          <w:r w:rsidRPr="006927D4">
            <w:rPr>
              <w:rFonts w:ascii="Arial" w:hAnsi="Arial" w:cs="Arial"/>
              <w:color w:val="000000"/>
              <w:sz w:val="22"/>
            </w:rPr>
            <w:t xml:space="preserve"> S, Tian C, Tran V, Tung JY, Wang X, Wang W, Weldon CH, Wilton P, </w:t>
          </w:r>
          <w:proofErr w:type="spellStart"/>
          <w:r w:rsidRPr="006927D4">
            <w:rPr>
              <w:rFonts w:ascii="Arial" w:hAnsi="Arial" w:cs="Arial"/>
              <w:color w:val="000000"/>
              <w:sz w:val="22"/>
            </w:rPr>
            <w:t>Sealock</w:t>
          </w:r>
          <w:proofErr w:type="spellEnd"/>
          <w:r w:rsidRPr="006927D4">
            <w:rPr>
              <w:rFonts w:ascii="Arial" w:hAnsi="Arial" w:cs="Arial"/>
              <w:color w:val="000000"/>
              <w:sz w:val="22"/>
            </w:rPr>
            <w:t xml:space="preserve"> JM, Davis LK, Pedersen NL, Reynolds CA, Karlsson IK, Magnusson S, Stefansson H, </w:t>
          </w:r>
          <w:proofErr w:type="spellStart"/>
          <w:r w:rsidRPr="006927D4">
            <w:rPr>
              <w:rFonts w:ascii="Arial" w:hAnsi="Arial" w:cs="Arial"/>
              <w:color w:val="000000"/>
              <w:sz w:val="22"/>
            </w:rPr>
            <w:t>Thordardottir</w:t>
          </w:r>
          <w:proofErr w:type="spellEnd"/>
          <w:r w:rsidRPr="006927D4">
            <w:rPr>
              <w:rFonts w:ascii="Arial" w:hAnsi="Arial" w:cs="Arial"/>
              <w:color w:val="000000"/>
              <w:sz w:val="22"/>
            </w:rPr>
            <w:t xml:space="preserve"> S, Jonsson PV, </w:t>
          </w:r>
          <w:proofErr w:type="spellStart"/>
          <w:r w:rsidRPr="006927D4">
            <w:rPr>
              <w:rFonts w:ascii="Arial" w:hAnsi="Arial" w:cs="Arial"/>
              <w:color w:val="000000"/>
              <w:sz w:val="22"/>
            </w:rPr>
            <w:t>Snaedal</w:t>
          </w:r>
          <w:proofErr w:type="spellEnd"/>
          <w:r w:rsidRPr="006927D4">
            <w:rPr>
              <w:rFonts w:ascii="Arial" w:hAnsi="Arial" w:cs="Arial"/>
              <w:color w:val="000000"/>
              <w:sz w:val="22"/>
            </w:rPr>
            <w:t xml:space="preserve"> J, </w:t>
          </w:r>
          <w:proofErr w:type="spellStart"/>
          <w:r w:rsidRPr="006927D4">
            <w:rPr>
              <w:rFonts w:ascii="Arial" w:hAnsi="Arial" w:cs="Arial"/>
              <w:color w:val="000000"/>
              <w:sz w:val="22"/>
            </w:rPr>
            <w:t>Zettergren</w:t>
          </w:r>
          <w:proofErr w:type="spellEnd"/>
          <w:r w:rsidRPr="006927D4">
            <w:rPr>
              <w:rFonts w:ascii="Arial" w:hAnsi="Arial" w:cs="Arial"/>
              <w:color w:val="000000"/>
              <w:sz w:val="22"/>
            </w:rPr>
            <w:t xml:space="preserve"> A, Skoog I, Kern S, </w:t>
          </w:r>
          <w:proofErr w:type="spellStart"/>
          <w:r w:rsidRPr="006927D4">
            <w:rPr>
              <w:rFonts w:ascii="Arial" w:hAnsi="Arial" w:cs="Arial"/>
              <w:color w:val="000000"/>
              <w:sz w:val="22"/>
            </w:rPr>
            <w:t>Waern</w:t>
          </w:r>
          <w:proofErr w:type="spellEnd"/>
          <w:r w:rsidRPr="006927D4">
            <w:rPr>
              <w:rFonts w:ascii="Arial" w:hAnsi="Arial" w:cs="Arial"/>
              <w:color w:val="000000"/>
              <w:sz w:val="22"/>
            </w:rPr>
            <w:t xml:space="preserve"> M, Zetterberg H, </w:t>
          </w:r>
          <w:proofErr w:type="spellStart"/>
          <w:r w:rsidRPr="006927D4">
            <w:rPr>
              <w:rFonts w:ascii="Arial" w:hAnsi="Arial" w:cs="Arial"/>
              <w:color w:val="000000"/>
              <w:sz w:val="22"/>
            </w:rPr>
            <w:t>Blennow</w:t>
          </w:r>
          <w:proofErr w:type="spellEnd"/>
          <w:r w:rsidRPr="006927D4">
            <w:rPr>
              <w:rFonts w:ascii="Arial" w:hAnsi="Arial" w:cs="Arial"/>
              <w:color w:val="000000"/>
              <w:sz w:val="22"/>
            </w:rPr>
            <w:t xml:space="preserve"> K, </w:t>
          </w:r>
          <w:proofErr w:type="spellStart"/>
          <w:r w:rsidRPr="006927D4">
            <w:rPr>
              <w:rFonts w:ascii="Arial" w:hAnsi="Arial" w:cs="Arial"/>
              <w:color w:val="000000"/>
              <w:sz w:val="22"/>
            </w:rPr>
            <w:t>Stordal</w:t>
          </w:r>
          <w:proofErr w:type="spellEnd"/>
          <w:r w:rsidRPr="006927D4">
            <w:rPr>
              <w:rFonts w:ascii="Arial" w:hAnsi="Arial" w:cs="Arial"/>
              <w:color w:val="000000"/>
              <w:sz w:val="22"/>
            </w:rPr>
            <w:t xml:space="preserve"> E, </w:t>
          </w:r>
          <w:proofErr w:type="spellStart"/>
          <w:r w:rsidRPr="006927D4">
            <w:rPr>
              <w:rFonts w:ascii="Arial" w:hAnsi="Arial" w:cs="Arial"/>
              <w:color w:val="000000"/>
              <w:sz w:val="22"/>
            </w:rPr>
            <w:t>Hveem</w:t>
          </w:r>
          <w:proofErr w:type="spellEnd"/>
          <w:r w:rsidRPr="006927D4">
            <w:rPr>
              <w:rFonts w:ascii="Arial" w:hAnsi="Arial" w:cs="Arial"/>
              <w:color w:val="000000"/>
              <w:sz w:val="22"/>
            </w:rPr>
            <w:t xml:space="preserve"> K, Zwart J-A, </w:t>
          </w:r>
          <w:proofErr w:type="spellStart"/>
          <w:r w:rsidRPr="006927D4">
            <w:rPr>
              <w:rFonts w:ascii="Arial" w:hAnsi="Arial" w:cs="Arial"/>
              <w:color w:val="000000"/>
              <w:sz w:val="22"/>
            </w:rPr>
            <w:t>Athanasiu</w:t>
          </w:r>
          <w:proofErr w:type="spellEnd"/>
          <w:r w:rsidRPr="006927D4">
            <w:rPr>
              <w:rFonts w:ascii="Arial" w:hAnsi="Arial" w:cs="Arial"/>
              <w:color w:val="000000"/>
              <w:sz w:val="22"/>
            </w:rPr>
            <w:t xml:space="preserve"> L, </w:t>
          </w:r>
          <w:proofErr w:type="spellStart"/>
          <w:r w:rsidRPr="006927D4">
            <w:rPr>
              <w:rFonts w:ascii="Arial" w:hAnsi="Arial" w:cs="Arial"/>
              <w:color w:val="000000"/>
              <w:sz w:val="22"/>
            </w:rPr>
            <w:t>Selnes</w:t>
          </w:r>
          <w:proofErr w:type="spellEnd"/>
          <w:r w:rsidRPr="006927D4">
            <w:rPr>
              <w:rFonts w:ascii="Arial" w:hAnsi="Arial" w:cs="Arial"/>
              <w:color w:val="000000"/>
              <w:sz w:val="22"/>
            </w:rPr>
            <w:t xml:space="preserve"> P, </w:t>
          </w:r>
          <w:proofErr w:type="spellStart"/>
          <w:r w:rsidRPr="006927D4">
            <w:rPr>
              <w:rFonts w:ascii="Arial" w:hAnsi="Arial" w:cs="Arial"/>
              <w:color w:val="000000"/>
              <w:sz w:val="22"/>
            </w:rPr>
            <w:t>Saltvedt</w:t>
          </w:r>
          <w:proofErr w:type="spellEnd"/>
          <w:r w:rsidRPr="006927D4">
            <w:rPr>
              <w:rFonts w:ascii="Arial" w:hAnsi="Arial" w:cs="Arial"/>
              <w:color w:val="000000"/>
              <w:sz w:val="22"/>
            </w:rPr>
            <w:t xml:space="preserve"> I, Sando SB, </w:t>
          </w:r>
          <w:proofErr w:type="spellStart"/>
          <w:r w:rsidRPr="006927D4">
            <w:rPr>
              <w:rFonts w:ascii="Arial" w:hAnsi="Arial" w:cs="Arial"/>
              <w:color w:val="000000"/>
              <w:sz w:val="22"/>
            </w:rPr>
            <w:t>Ulstein</w:t>
          </w:r>
          <w:proofErr w:type="spellEnd"/>
          <w:r w:rsidRPr="006927D4">
            <w:rPr>
              <w:rFonts w:ascii="Arial" w:hAnsi="Arial" w:cs="Arial"/>
              <w:color w:val="000000"/>
              <w:sz w:val="22"/>
            </w:rPr>
            <w:t xml:space="preserve"> I, </w:t>
          </w:r>
          <w:proofErr w:type="spellStart"/>
          <w:r w:rsidRPr="006927D4">
            <w:rPr>
              <w:rFonts w:ascii="Arial" w:hAnsi="Arial" w:cs="Arial"/>
              <w:color w:val="000000"/>
              <w:sz w:val="22"/>
            </w:rPr>
            <w:t>Djurovic</w:t>
          </w:r>
          <w:proofErr w:type="spellEnd"/>
          <w:r w:rsidRPr="006927D4">
            <w:rPr>
              <w:rFonts w:ascii="Arial" w:hAnsi="Arial" w:cs="Arial"/>
              <w:color w:val="000000"/>
              <w:sz w:val="22"/>
            </w:rPr>
            <w:t xml:space="preserve"> S, </w:t>
          </w:r>
          <w:proofErr w:type="spellStart"/>
          <w:r w:rsidRPr="006927D4">
            <w:rPr>
              <w:rFonts w:ascii="Arial" w:hAnsi="Arial" w:cs="Arial"/>
              <w:color w:val="000000"/>
              <w:sz w:val="22"/>
            </w:rPr>
            <w:t>Fladby</w:t>
          </w:r>
          <w:proofErr w:type="spellEnd"/>
          <w:r w:rsidRPr="006927D4">
            <w:rPr>
              <w:rFonts w:ascii="Arial" w:hAnsi="Arial" w:cs="Arial"/>
              <w:color w:val="000000"/>
              <w:sz w:val="22"/>
            </w:rPr>
            <w:t xml:space="preserve"> T, </w:t>
          </w:r>
          <w:proofErr w:type="spellStart"/>
          <w:r w:rsidRPr="006927D4">
            <w:rPr>
              <w:rFonts w:ascii="Arial" w:hAnsi="Arial" w:cs="Arial"/>
              <w:color w:val="000000"/>
              <w:sz w:val="22"/>
            </w:rPr>
            <w:t>Aarsland</w:t>
          </w:r>
          <w:proofErr w:type="spellEnd"/>
          <w:r w:rsidRPr="006927D4">
            <w:rPr>
              <w:rFonts w:ascii="Arial" w:hAnsi="Arial" w:cs="Arial"/>
              <w:color w:val="000000"/>
              <w:sz w:val="22"/>
            </w:rPr>
            <w:t xml:space="preserve"> D, </w:t>
          </w:r>
          <w:proofErr w:type="spellStart"/>
          <w:r w:rsidRPr="006927D4">
            <w:rPr>
              <w:rFonts w:ascii="Arial" w:hAnsi="Arial" w:cs="Arial"/>
              <w:color w:val="000000"/>
              <w:sz w:val="22"/>
            </w:rPr>
            <w:t>Selbæk</w:t>
          </w:r>
          <w:proofErr w:type="spellEnd"/>
          <w:r w:rsidRPr="006927D4">
            <w:rPr>
              <w:rFonts w:ascii="Arial" w:hAnsi="Arial" w:cs="Arial"/>
              <w:color w:val="000000"/>
              <w:sz w:val="22"/>
            </w:rPr>
            <w:t xml:space="preserve"> G, </w:t>
          </w:r>
          <w:proofErr w:type="spellStart"/>
          <w:r w:rsidRPr="006927D4">
            <w:rPr>
              <w:rFonts w:ascii="Arial" w:hAnsi="Arial" w:cs="Arial"/>
              <w:color w:val="000000"/>
              <w:sz w:val="22"/>
            </w:rPr>
            <w:t>Ripke</w:t>
          </w:r>
          <w:proofErr w:type="spellEnd"/>
          <w:r w:rsidRPr="006927D4">
            <w:rPr>
              <w:rFonts w:ascii="Arial" w:hAnsi="Arial" w:cs="Arial"/>
              <w:color w:val="000000"/>
              <w:sz w:val="22"/>
            </w:rPr>
            <w:t xml:space="preserve"> S, Stefansson K, </w:t>
          </w:r>
          <w:proofErr w:type="spellStart"/>
          <w:r w:rsidRPr="006927D4">
            <w:rPr>
              <w:rFonts w:ascii="Arial" w:hAnsi="Arial" w:cs="Arial"/>
              <w:color w:val="000000"/>
              <w:sz w:val="22"/>
            </w:rPr>
            <w:t>Andreassen</w:t>
          </w:r>
          <w:proofErr w:type="spellEnd"/>
          <w:r w:rsidRPr="006927D4">
            <w:rPr>
              <w:rFonts w:ascii="Arial" w:hAnsi="Arial" w:cs="Arial"/>
              <w:color w:val="000000"/>
              <w:sz w:val="22"/>
            </w:rPr>
            <w:t xml:space="preserve"> OA, </w:t>
          </w:r>
          <w:proofErr w:type="spellStart"/>
          <w:r w:rsidRPr="006927D4">
            <w:rPr>
              <w:rFonts w:ascii="Arial" w:hAnsi="Arial" w:cs="Arial"/>
              <w:color w:val="000000"/>
              <w:sz w:val="22"/>
            </w:rPr>
            <w:t>Posthuma</w:t>
          </w:r>
          <w:proofErr w:type="spellEnd"/>
          <w:r w:rsidRPr="006927D4">
            <w:rPr>
              <w:rFonts w:ascii="Arial" w:hAnsi="Arial" w:cs="Arial"/>
              <w:color w:val="000000"/>
              <w:sz w:val="22"/>
            </w:rPr>
            <w:t xml:space="preserve"> D (2021) A genome-wide association study with 1,126,563 individuals identifies new risk loci for Alzheimer’s disease. </w:t>
          </w:r>
          <w:r w:rsidRPr="006927D4">
            <w:rPr>
              <w:rFonts w:ascii="Arial" w:hAnsi="Arial" w:cs="Arial"/>
              <w:i/>
              <w:iCs/>
              <w:color w:val="000000"/>
              <w:sz w:val="22"/>
            </w:rPr>
            <w:t>Nat Genet</w:t>
          </w:r>
          <w:r w:rsidRPr="006927D4">
            <w:rPr>
              <w:rFonts w:ascii="Arial" w:hAnsi="Arial" w:cs="Arial"/>
              <w:color w:val="000000"/>
              <w:sz w:val="22"/>
            </w:rPr>
            <w:t xml:space="preserve"> </w:t>
          </w:r>
          <w:r w:rsidRPr="006927D4">
            <w:rPr>
              <w:rFonts w:ascii="Arial" w:hAnsi="Arial" w:cs="Arial"/>
              <w:bCs/>
              <w:color w:val="000000"/>
              <w:sz w:val="22"/>
            </w:rPr>
            <w:t>53</w:t>
          </w:r>
          <w:r w:rsidRPr="006927D4">
            <w:rPr>
              <w:rFonts w:ascii="Arial" w:hAnsi="Arial" w:cs="Arial"/>
              <w:color w:val="000000"/>
              <w:sz w:val="22"/>
            </w:rPr>
            <w:t>, 1276–1282.</w:t>
          </w:r>
        </w:p>
        <w:p w14:paraId="353D3718" w14:textId="304EC036" w:rsidR="00001A02" w:rsidRPr="00001A02" w:rsidRDefault="006927D4" w:rsidP="00D76923">
          <w:pPr>
            <w:jc w:val="both"/>
          </w:pPr>
          <w:r w:rsidRPr="006927D4">
            <w:rPr>
              <w:rFonts w:eastAsia="Times New Roman"/>
              <w:color w:val="000000"/>
            </w:rPr>
            <w:t> </w:t>
          </w:r>
        </w:p>
      </w:sdtContent>
    </w:sdt>
    <w:sectPr w:rsidR="00001A02" w:rsidRPr="0000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A0"/>
    <w:rsid w:val="00001A02"/>
    <w:rsid w:val="000B3C57"/>
    <w:rsid w:val="0010297B"/>
    <w:rsid w:val="0013196D"/>
    <w:rsid w:val="00135D23"/>
    <w:rsid w:val="00170548"/>
    <w:rsid w:val="00325801"/>
    <w:rsid w:val="004614BD"/>
    <w:rsid w:val="00542C8F"/>
    <w:rsid w:val="00603A76"/>
    <w:rsid w:val="006927D4"/>
    <w:rsid w:val="00701B11"/>
    <w:rsid w:val="00741ACD"/>
    <w:rsid w:val="00786B7E"/>
    <w:rsid w:val="008035F3"/>
    <w:rsid w:val="008103A1"/>
    <w:rsid w:val="00865B22"/>
    <w:rsid w:val="0088439F"/>
    <w:rsid w:val="008C4CA6"/>
    <w:rsid w:val="00987B4C"/>
    <w:rsid w:val="00A44DAF"/>
    <w:rsid w:val="00AA3985"/>
    <w:rsid w:val="00AA5B7B"/>
    <w:rsid w:val="00B73B06"/>
    <w:rsid w:val="00C02D42"/>
    <w:rsid w:val="00C203A3"/>
    <w:rsid w:val="00CC333D"/>
    <w:rsid w:val="00CD551F"/>
    <w:rsid w:val="00CD6DD1"/>
    <w:rsid w:val="00D220F3"/>
    <w:rsid w:val="00D76923"/>
    <w:rsid w:val="00EE2B68"/>
    <w:rsid w:val="00FC0DA0"/>
    <w:rsid w:val="00FE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4B75B"/>
  <w15:chartTrackingRefBased/>
  <w15:docId w15:val="{1F4D50AE-386C-644B-A7BC-75E792BE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DA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33D"/>
    <w:rPr>
      <w:color w:val="808080"/>
    </w:rPr>
  </w:style>
  <w:style w:type="paragraph" w:customStyle="1" w:styleId="csl-entry">
    <w:name w:val="csl-entry"/>
    <w:basedOn w:val="Normal"/>
    <w:rsid w:val="00CC333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5508">
      <w:bodyDiv w:val="1"/>
      <w:marLeft w:val="0"/>
      <w:marRight w:val="0"/>
      <w:marTop w:val="0"/>
      <w:marBottom w:val="0"/>
      <w:divBdr>
        <w:top w:val="none" w:sz="0" w:space="0" w:color="auto"/>
        <w:left w:val="none" w:sz="0" w:space="0" w:color="auto"/>
        <w:bottom w:val="none" w:sz="0" w:space="0" w:color="auto"/>
        <w:right w:val="none" w:sz="0" w:space="0" w:color="auto"/>
      </w:divBdr>
      <w:divsChild>
        <w:div w:id="889267330">
          <w:marLeft w:val="0"/>
          <w:marRight w:val="0"/>
          <w:marTop w:val="0"/>
          <w:marBottom w:val="0"/>
          <w:divBdr>
            <w:top w:val="none" w:sz="0" w:space="0" w:color="auto"/>
            <w:left w:val="none" w:sz="0" w:space="0" w:color="auto"/>
            <w:bottom w:val="none" w:sz="0" w:space="0" w:color="auto"/>
            <w:right w:val="none" w:sz="0" w:space="0" w:color="auto"/>
          </w:divBdr>
        </w:div>
        <w:div w:id="1089348638">
          <w:marLeft w:val="0"/>
          <w:marRight w:val="0"/>
          <w:marTop w:val="0"/>
          <w:marBottom w:val="0"/>
          <w:divBdr>
            <w:top w:val="none" w:sz="0" w:space="0" w:color="auto"/>
            <w:left w:val="none" w:sz="0" w:space="0" w:color="auto"/>
            <w:bottom w:val="none" w:sz="0" w:space="0" w:color="auto"/>
            <w:right w:val="none" w:sz="0" w:space="0" w:color="auto"/>
          </w:divBdr>
        </w:div>
        <w:div w:id="43257440">
          <w:marLeft w:val="0"/>
          <w:marRight w:val="0"/>
          <w:marTop w:val="0"/>
          <w:marBottom w:val="0"/>
          <w:divBdr>
            <w:top w:val="none" w:sz="0" w:space="0" w:color="auto"/>
            <w:left w:val="none" w:sz="0" w:space="0" w:color="auto"/>
            <w:bottom w:val="none" w:sz="0" w:space="0" w:color="auto"/>
            <w:right w:val="none" w:sz="0" w:space="0" w:color="auto"/>
          </w:divBdr>
        </w:div>
        <w:div w:id="2006593064">
          <w:marLeft w:val="0"/>
          <w:marRight w:val="0"/>
          <w:marTop w:val="0"/>
          <w:marBottom w:val="0"/>
          <w:divBdr>
            <w:top w:val="none" w:sz="0" w:space="0" w:color="auto"/>
            <w:left w:val="none" w:sz="0" w:space="0" w:color="auto"/>
            <w:bottom w:val="none" w:sz="0" w:space="0" w:color="auto"/>
            <w:right w:val="none" w:sz="0" w:space="0" w:color="auto"/>
          </w:divBdr>
        </w:div>
        <w:div w:id="1607805132">
          <w:marLeft w:val="0"/>
          <w:marRight w:val="0"/>
          <w:marTop w:val="0"/>
          <w:marBottom w:val="0"/>
          <w:divBdr>
            <w:top w:val="none" w:sz="0" w:space="0" w:color="auto"/>
            <w:left w:val="none" w:sz="0" w:space="0" w:color="auto"/>
            <w:bottom w:val="none" w:sz="0" w:space="0" w:color="auto"/>
            <w:right w:val="none" w:sz="0" w:space="0" w:color="auto"/>
          </w:divBdr>
        </w:div>
      </w:divsChild>
    </w:div>
    <w:div w:id="741486585">
      <w:bodyDiv w:val="1"/>
      <w:marLeft w:val="0"/>
      <w:marRight w:val="0"/>
      <w:marTop w:val="0"/>
      <w:marBottom w:val="0"/>
      <w:divBdr>
        <w:top w:val="none" w:sz="0" w:space="0" w:color="auto"/>
        <w:left w:val="none" w:sz="0" w:space="0" w:color="auto"/>
        <w:bottom w:val="none" w:sz="0" w:space="0" w:color="auto"/>
        <w:right w:val="none" w:sz="0" w:space="0" w:color="auto"/>
      </w:divBdr>
    </w:div>
    <w:div w:id="792408232">
      <w:bodyDiv w:val="1"/>
      <w:marLeft w:val="0"/>
      <w:marRight w:val="0"/>
      <w:marTop w:val="0"/>
      <w:marBottom w:val="0"/>
      <w:divBdr>
        <w:top w:val="none" w:sz="0" w:space="0" w:color="auto"/>
        <w:left w:val="none" w:sz="0" w:space="0" w:color="auto"/>
        <w:bottom w:val="none" w:sz="0" w:space="0" w:color="auto"/>
        <w:right w:val="none" w:sz="0" w:space="0" w:color="auto"/>
      </w:divBdr>
    </w:div>
    <w:div w:id="901793486">
      <w:bodyDiv w:val="1"/>
      <w:marLeft w:val="0"/>
      <w:marRight w:val="0"/>
      <w:marTop w:val="0"/>
      <w:marBottom w:val="0"/>
      <w:divBdr>
        <w:top w:val="none" w:sz="0" w:space="0" w:color="auto"/>
        <w:left w:val="none" w:sz="0" w:space="0" w:color="auto"/>
        <w:bottom w:val="none" w:sz="0" w:space="0" w:color="auto"/>
        <w:right w:val="none" w:sz="0" w:space="0" w:color="auto"/>
      </w:divBdr>
    </w:div>
    <w:div w:id="1203204614">
      <w:bodyDiv w:val="1"/>
      <w:marLeft w:val="0"/>
      <w:marRight w:val="0"/>
      <w:marTop w:val="0"/>
      <w:marBottom w:val="0"/>
      <w:divBdr>
        <w:top w:val="none" w:sz="0" w:space="0" w:color="auto"/>
        <w:left w:val="none" w:sz="0" w:space="0" w:color="auto"/>
        <w:bottom w:val="none" w:sz="0" w:space="0" w:color="auto"/>
        <w:right w:val="none" w:sz="0" w:space="0" w:color="auto"/>
      </w:divBdr>
    </w:div>
    <w:div w:id="1608581912">
      <w:bodyDiv w:val="1"/>
      <w:marLeft w:val="0"/>
      <w:marRight w:val="0"/>
      <w:marTop w:val="0"/>
      <w:marBottom w:val="0"/>
      <w:divBdr>
        <w:top w:val="none" w:sz="0" w:space="0" w:color="auto"/>
        <w:left w:val="none" w:sz="0" w:space="0" w:color="auto"/>
        <w:bottom w:val="none" w:sz="0" w:space="0" w:color="auto"/>
        <w:right w:val="none" w:sz="0" w:space="0" w:color="auto"/>
      </w:divBdr>
    </w:div>
    <w:div w:id="20410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6B772B-CD66-994A-97DC-77B11260D9B0}"/>
      </w:docPartPr>
      <w:docPartBody>
        <w:p w:rsidR="00000000" w:rsidRDefault="00BA67C2">
          <w:r w:rsidRPr="001E7B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C2"/>
    <w:rsid w:val="00BA67C2"/>
    <w:rsid w:val="00E0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7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BE2D3A-BD8F-C148-9B2E-49DCCCE8F3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E239-9607-8342-9A2D-B7803EB0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andrews</dc:creator>
  <cp:keywords/>
  <dc:description/>
  <cp:lastModifiedBy>shea andrews</cp:lastModifiedBy>
  <cp:revision>2</cp:revision>
  <dcterms:created xsi:type="dcterms:W3CDTF">2022-06-29T23:48:00Z</dcterms:created>
  <dcterms:modified xsi:type="dcterms:W3CDTF">2022-07-03T17:38:00Z</dcterms:modified>
</cp:coreProperties>
</file>