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8"/>
        </w:pBdr>
        <w:spacing w:after="40"/>
      </w:pPr>
      <w:r>
        <w:rPr>
          <w:b/>
          <w:bCs/>
          <w:color w:val="1F3864"/>
          <w:sz w:val="40"/>
          <w:szCs w:val="40"/>
        </w:rPr>
        <w:t xml:space="preserve">Foreign Gift Analysis: University of Virginia</w:t>
      </w:r>
    </w:p>
    <w:p>
      <w:pPr>
        <w:spacing w:after="20" w:before="120"/>
      </w:pPr>
      <w:r>
        <w:rPr>
          <w:i/>
          <w:iCs/>
          <w:color w:val="2E5496"/>
          <w:sz w:val="26"/>
          <w:szCs w:val="26"/>
        </w:rPr>
        <w:t xml:space="preserve">Peer Benchmarking &amp; Prospective Funding Sources</w:t>
      </w:r>
    </w:p>
    <w:p>
      <w:pPr>
        <w:spacing w:after="320"/>
      </w:pPr>
      <w:r>
        <w:rPr>
          <w:color w:val="666666"/>
          <w:sz w:val="20"/>
          <w:szCs w:val="20"/>
        </w:rPr>
        <w:t xml:space="preserve">Prepared by: [Your Name]</w:t>
      </w:r>
      <w:r>
        <w:rPr>
          <w:color w:val="666666"/>
          <w:sz w:val="20"/>
          <w:szCs w:val="20"/>
        </w:rPr>
        <w:t xml:space="preserve">   |   </w:t>
      </w:r>
      <w:r>
        <w:rPr>
          <w:color w:val="666666"/>
          <w:sz w:val="20"/>
          <w:szCs w:val="20"/>
        </w:rPr>
        <w:t xml:space="preserve">Course: [Course Name / Number]</w:t>
      </w:r>
      <w:r>
        <w:rPr>
          <w:color w:val="666666"/>
          <w:sz w:val="20"/>
          <w:szCs w:val="20"/>
        </w:rPr>
        <w:t xml:space="preserve">   |   </w:t>
      </w:r>
      <w:r>
        <w:rPr>
          <w:color w:val="666666"/>
          <w:sz w:val="20"/>
          <w:szCs w:val="20"/>
        </w:rPr>
        <w:t xml:space="preserve">Date: [Date]</w:t>
      </w:r>
    </w:p>
    <w:p>
      <w:pPr>
        <w:pStyle w:val="Heading1"/>
        <w:spacing w:after="140" w:before="320"/>
      </w:pPr>
      <w:r>
        <w:rPr>
          <w:b/>
          <w:bCs/>
          <w:color w:val="1F3864"/>
          <w:sz w:val="28"/>
          <w:szCs w:val="28"/>
        </w:rPr>
        <w:t xml:space="preserve">1.  Executive Summary</w:t>
      </w:r>
    </w:p>
    <w:p>
      <w:pPr>
        <w:spacing w:after="160" w:line="276"/>
        <w:jc w:val="both"/>
      </w:pPr>
      <w:r>
        <w:rPr>
          <w:sz w:val="22"/>
          <w:szCs w:val="22"/>
        </w:rPr>
        <w:t xml:space="preserve">This report analyzes the foreign gifts and contracts reported by the University of Virginia (UVA) and benchmarks the institution against regional and data-driven national peers. UVA received approximately </w:t>
      </w:r>
      <w:r>
        <w:rPr>
          <w:b/>
          <w:bCs/>
          <w:sz w:val="22"/>
          <w:szCs w:val="22"/>
        </w:rPr>
        <w:t xml:space="preserve">$22.2 million</w:t>
      </w:r>
      <w:r>
        <w:rPr>
          <w:sz w:val="22"/>
          <w:szCs w:val="22"/>
        </w:rPr>
        <w:t xml:space="preserve"> across </w:t>
      </w:r>
      <w:r>
        <w:rPr>
          <w:b/>
          <w:bCs/>
          <w:sz w:val="22"/>
          <w:szCs w:val="22"/>
        </w:rPr>
        <w:t xml:space="preserve">98 records</w:t>
      </w:r>
      <w:r>
        <w:rPr>
          <w:sz w:val="22"/>
          <w:szCs w:val="22"/>
        </w:rPr>
        <w:t xml:space="preserve">, the majority of it through contracts rather than philanthropic gifts. Relative to a data-driven peer group selected by similarity across total funding, record count, and average and median gift size, UVA sits near the </w:t>
      </w:r>
      <w:r>
        <w:rPr>
          <w:b/>
          <w:bCs/>
          <w:sz w:val="22"/>
          <w:szCs w:val="22"/>
        </w:rPr>
        <w:t xml:space="preserve">middle of the group</w:t>
      </w:r>
      <w:r>
        <w:rPr>
          <w:sz w:val="22"/>
          <w:szCs w:val="22"/>
        </w:rPr>
        <w:t xml:space="preserve">: below peers such as the University of Kansas and Oregon State in total dollars, but with a comparatively strong median gift of roughly </w:t>
      </w:r>
      <w:r>
        <w:rPr>
          <w:b/>
          <w:bCs/>
          <w:sz w:val="22"/>
          <w:szCs w:val="22"/>
        </w:rPr>
        <w:t xml:space="preserve">$80,500</w:t>
      </w:r>
      <w:r>
        <w:rPr>
          <w:sz w:val="22"/>
          <w:szCs w:val="22"/>
        </w:rPr>
        <w:t xml:space="preserve">. A country-level gap analysis reveals that peer institutions draw substantial funding from countries where UVA has little or none recorded — most notably </w:t>
      </w:r>
      <w:r>
        <w:rPr>
          <w:b/>
          <w:bCs/>
          <w:sz w:val="22"/>
          <w:szCs w:val="22"/>
        </w:rPr>
        <w:t xml:space="preserve">Saudi Arabia, Japan, and several Gulf states</w:t>
      </w:r>
      <w:r>
        <w:rPr>
          <w:sz w:val="22"/>
          <w:szCs w:val="22"/>
        </w:rPr>
        <w:t xml:space="preserve">. The primary recommendation is that UVA investigate the specific donor organizations (cultural missions, embassies, foundations, and corporations) driving peer relationships in these countries as candidate targets for future development research, while treating them as leads for further study rather than confirmed opportunities.</w:t>
      </w:r>
    </w:p>
    <w:p>
      <w:pPr>
        <w:pStyle w:val="Heading1"/>
        <w:spacing w:after="140" w:before="320"/>
      </w:pPr>
      <w:r>
        <w:rPr>
          <w:b/>
          <w:bCs/>
          <w:color w:val="1F3864"/>
          <w:sz w:val="28"/>
          <w:szCs w:val="28"/>
        </w:rPr>
        <w:t xml:space="preserve">2.  Overall Giving and Giving to UVA</w:t>
      </w:r>
    </w:p>
    <w:p>
      <w:pPr>
        <w:spacing w:after="160" w:line="276"/>
        <w:jc w:val="both"/>
      </w:pPr>
      <w:r>
        <w:rPr>
          <w:sz w:val="22"/>
          <w:szCs w:val="22"/>
        </w:rPr>
        <w:t xml:space="preserve">Across the full dataset, foreign giving to U.S. institutions is highly concentrated: a relatively small number of institutions and donor countries account for a large share of total dollars, and within most institutions a handful of large transactions drive the totals. Focusing on UVA, the institution's </w:t>
      </w:r>
      <w:r>
        <w:rPr>
          <w:b/>
          <w:bCs/>
          <w:sz w:val="22"/>
          <w:szCs w:val="22"/>
        </w:rPr>
        <w:t xml:space="preserve">$22.2 million</w:t>
      </w:r>
      <w:r>
        <w:rPr>
          <w:sz w:val="22"/>
          <w:szCs w:val="22"/>
        </w:rPr>
        <w:t xml:space="preserve"> in reported foreign funding is dominated by </w:t>
      </w:r>
      <w:r>
        <w:rPr>
          <w:b/>
          <w:bCs/>
          <w:sz w:val="22"/>
          <w:szCs w:val="22"/>
        </w:rPr>
        <w:t xml:space="preserve">contracts</w:t>
      </w:r>
      <w:r>
        <w:rPr>
          <w:sz w:val="22"/>
          <w:szCs w:val="22"/>
        </w:rPr>
        <w:t xml:space="preserve"> (approximately $14.8M across 64 records) rather than monetary gifts (approximately $7.4M across 34 records), suggesting UVA's international funding is driven more by research and contractual arrangements than by philanthropy.</w:t>
      </w:r>
    </w:p>
    <w:p>
      <w:pPr>
        <w:spacing w:after="160" w:line="276"/>
        <w:jc w:val="both"/>
      </w:pPr>
      <w:r>
        <w:rPr>
          <w:sz w:val="22"/>
          <w:szCs w:val="22"/>
        </w:rPr>
        <w:t xml:space="preserve">By donor country, UVA's funding is concentrated among a small set of partners, with </w:t>
      </w:r>
      <w:r>
        <w:rPr>
          <w:b/>
          <w:bCs/>
          <w:sz w:val="22"/>
          <w:szCs w:val="22"/>
        </w:rPr>
        <w:t xml:space="preserve">Bangladesh and Sweden</w:t>
      </w:r>
      <w:r>
        <w:rPr>
          <w:sz w:val="22"/>
          <w:szCs w:val="22"/>
        </w:rPr>
        <w:t xml:space="preserve"> each contributing roughly $4 million, while </w:t>
      </w:r>
      <w:r>
        <w:rPr>
          <w:b/>
          <w:bCs/>
          <w:sz w:val="22"/>
          <w:szCs w:val="22"/>
        </w:rPr>
        <w:t xml:space="preserve">England</w:t>
      </w:r>
      <w:r>
        <w:rPr>
          <w:sz w:val="22"/>
          <w:szCs w:val="22"/>
        </w:rPr>
        <w:t xml:space="preserve"> appears most frequently (31 records) but at a smaller average size of about $63,000. After standardizing inconsistent donor-name spellings, the </w:t>
      </w:r>
      <w:r>
        <w:rPr>
          <w:b/>
          <w:bCs/>
          <w:sz w:val="22"/>
          <w:szCs w:val="22"/>
        </w:rPr>
        <w:t xml:space="preserve">International Centre for Diarrhoeal Disease</w:t>
      </w:r>
      <w:r>
        <w:rPr>
          <w:sz w:val="22"/>
          <w:szCs w:val="22"/>
        </w:rPr>
        <w:t xml:space="preserve"> emerges as UVA's single largest funding partner at approximately $4.23 million across 10 records, followed by AstraZeneca and Haydom Lutheran Hospital.</w:t>
      </w:r>
    </w:p>
    <w:p>
      <w:pPr>
        <w:spacing w:after="160" w:line="276"/>
        <w:jc w:val="both"/>
      </w:pPr>
      <w:r>
        <w:rPr>
          <w:sz w:val="22"/>
          <w:szCs w:val="22"/>
        </w:rPr>
        <w:t xml:space="preserve">A notable structural feature is the gap between UVA's average gift (~$226K) and median gift (~$81K). The much larger average indicates a </w:t>
      </w:r>
      <w:r>
        <w:rPr>
          <w:b/>
          <w:bCs/>
          <w:sz w:val="22"/>
          <w:szCs w:val="22"/>
        </w:rPr>
        <w:t xml:space="preserve">right-skewed distribution</w:t>
      </w:r>
      <w:r>
        <w:rPr>
          <w:sz w:val="22"/>
          <w:szCs w:val="22"/>
        </w:rPr>
        <w:t xml:space="preserve">: a few large transactions pull the mean upward, so the median is the more reliable indicator of a “typical” UVA foreign-funding transaction. Against the peer group, this median is relatively healthy even where UVA trails in total dollars, as summarized below.</w:t>
      </w:r>
    </w:p>
    <w:p>
      <w:pPr>
        <w:spacing w:after="120" w:before="60"/>
      </w:pPr>
      <w:r>
        <w:rPr>
          <w:i/>
          <w:iCs/>
          <w:color w:val="666666"/>
          <w:sz w:val="18"/>
          <w:szCs w:val="18"/>
        </w:rPr>
        <w:t xml:space="preserve">Table 1. UVA vs. selected national peers, by foreign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1F3864" w:color="auto" w:val="clear"/>
            <w:tcMar>
              <w:top w:type="dxa" w:w="60"/>
              <w:left w:type="dxa" w:w="90"/>
              <w:bottom w:type="dxa" w:w="60"/>
              <w:right w:type="dxa" w:w="90"/>
            </w:tcMar>
          </w:tcPr>
          <w:p>
            <w:r>
              <w:rPr>
                <w:b/>
                <w:bCs/>
                <w:color w:val="FFFFFF"/>
                <w:sz w:val="18"/>
                <w:szCs w:val="18"/>
              </w:rPr>
              <w:t xml:space="preserve">Institution</w:t>
            </w:r>
          </w:p>
        </w:tc>
        <w:tc>
          <w:tcPr>
            <w:tcW w:type="dxa" w:w="1500"/>
            <w:shd w:fill="1F3864" w:color="auto" w:val="clear"/>
            <w:tcMar>
              <w:top w:type="dxa" w:w="60"/>
              <w:left w:type="dxa" w:w="90"/>
              <w:bottom w:type="dxa" w:w="60"/>
              <w:right w:type="dxa" w:w="90"/>
            </w:tcMar>
          </w:tcPr>
          <w:p>
            <w:pPr>
              <w:jc w:val="right"/>
            </w:pPr>
            <w:r>
              <w:rPr>
                <w:b/>
                <w:bCs/>
                <w:color w:val="FFFFFF"/>
                <w:sz w:val="18"/>
                <w:szCs w:val="18"/>
              </w:rPr>
              <w:t xml:space="preserve">Total</w:t>
            </w:r>
          </w:p>
        </w:tc>
        <w:tc>
          <w:tcPr>
            <w:tcW w:type="dxa" w:w="1500"/>
            <w:shd w:fill="1F3864" w:color="auto" w:val="clear"/>
            <w:tcMar>
              <w:top w:type="dxa" w:w="60"/>
              <w:left w:type="dxa" w:w="90"/>
              <w:bottom w:type="dxa" w:w="60"/>
              <w:right w:type="dxa" w:w="90"/>
            </w:tcMar>
          </w:tcPr>
          <w:p>
            <w:pPr>
              <w:jc w:val="right"/>
            </w:pPr>
            <w:r>
              <w:rPr>
                <w:b/>
                <w:bCs/>
                <w:color w:val="FFFFFF"/>
                <w:sz w:val="18"/>
                <w:szCs w:val="18"/>
              </w:rPr>
              <w:t xml:space="preserve">Records</w:t>
            </w:r>
          </w:p>
        </w:tc>
        <w:tc>
          <w:tcPr>
            <w:tcW w:type="dxa" w:w="1500"/>
            <w:shd w:fill="1F3864" w:color="auto" w:val="clear"/>
            <w:tcMar>
              <w:top w:type="dxa" w:w="60"/>
              <w:left w:type="dxa" w:w="90"/>
              <w:bottom w:type="dxa" w:w="60"/>
              <w:right w:type="dxa" w:w="90"/>
            </w:tcMar>
          </w:tcPr>
          <w:p>
            <w:pPr>
              <w:jc w:val="right"/>
            </w:pPr>
            <w:r>
              <w:rPr>
                <w:b/>
                <w:bCs/>
                <w:color w:val="FFFFFF"/>
                <w:sz w:val="18"/>
                <w:szCs w:val="18"/>
              </w:rPr>
              <w:t xml:space="preserve">Avg Gift</w:t>
            </w:r>
          </w:p>
        </w:tc>
        <w:tc>
          <w:tcPr>
            <w:tcW w:type="dxa" w:w="1500"/>
            <w:shd w:fill="1F3864" w:color="auto" w:val="clear"/>
            <w:tcMar>
              <w:top w:type="dxa" w:w="60"/>
              <w:left w:type="dxa" w:w="90"/>
              <w:bottom w:type="dxa" w:w="60"/>
              <w:right w:type="dxa" w:w="90"/>
            </w:tcMar>
          </w:tcPr>
          <w:p>
            <w:pPr>
              <w:jc w:val="right"/>
            </w:pPr>
            <w:r>
              <w:rPr>
                <w:b/>
                <w:bCs/>
                <w:color w:val="FFFFFF"/>
                <w:sz w:val="18"/>
                <w:szCs w:val="18"/>
              </w:rPr>
              <w:t xml:space="preserve">Median</w:t>
            </w:r>
          </w:p>
        </w:tc>
      </w:tr>
      <w:tr>
        <w:tc>
          <w:tcPr>
            <w:tcW w:type="dxa" w:w="3360"/>
            <w:shd w:fill="F5F7FA" w:color="auto" w:val="clear"/>
            <w:tcMar>
              <w:top w:type="dxa" w:w="50"/>
              <w:left w:type="dxa" w:w="90"/>
              <w:bottom w:type="dxa" w:w="50"/>
              <w:right w:type="dxa" w:w="90"/>
            </w:tcMar>
          </w:tcPr>
          <w:p>
            <w:pPr>
              <w:jc w:val="left"/>
            </w:pPr>
            <w:r>
              <w:rPr>
                <w:b w:val="false"/>
                <w:bCs w:val="false"/>
                <w:sz w:val="18"/>
                <w:szCs w:val="18"/>
              </w:rPr>
              <w:t xml:space="preserve">University of Kansas</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$33.6M</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115</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$292K</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$70K</w:t>
            </w:r>
          </w:p>
        </w:tc>
      </w:tr>
      <w:tr>
        <w:tc>
          <w:tcPr>
            <w:tcW w:type="dxa" w:w="3360"/>
            <w:shd w:fill="FFFFFF" w:color="auto" w:val="clear"/>
            <w:tcMar>
              <w:top w:type="dxa" w:w="50"/>
              <w:left w:type="dxa" w:w="90"/>
              <w:bottom w:type="dxa" w:w="50"/>
              <w:right w:type="dxa" w:w="90"/>
            </w:tcMar>
          </w:tcPr>
          <w:p>
            <w:pPr>
              <w:jc w:val="left"/>
            </w:pPr>
            <w:r>
              <w:rPr>
                <w:b w:val="false"/>
                <w:bCs w:val="false"/>
                <w:sz w:val="18"/>
                <w:szCs w:val="18"/>
              </w:rPr>
              <w:t xml:space="preserve">Oregon State University</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$26.4M</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85</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$310K</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$63K</w:t>
            </w:r>
          </w:p>
        </w:tc>
      </w:tr>
      <w:tr>
        <w:tc>
          <w:tcPr>
            <w:tcW w:type="dxa" w:w="3360"/>
            <w:shd w:fill="F5F7FA" w:color="auto" w:val="clear"/>
            <w:tcMar>
              <w:top w:type="dxa" w:w="50"/>
              <w:left w:type="dxa" w:w="90"/>
              <w:bottom w:type="dxa" w:w="50"/>
              <w:right w:type="dxa" w:w="90"/>
            </w:tcMar>
          </w:tcPr>
          <w:p>
            <w:pPr>
              <w:jc w:val="left"/>
            </w:pPr>
            <w:r>
              <w:rPr>
                <w:b w:val="false"/>
                <w:bCs w:val="false"/>
                <w:sz w:val="18"/>
                <w:szCs w:val="18"/>
              </w:rPr>
              <w:t xml:space="preserve">University of Kentucky</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$25.0M</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82</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$305K</w:t>
            </w:r>
          </w:p>
        </w:tc>
        <w:tc>
          <w:tcPr>
            <w:tcW w:type="dxa" w:w="1500"/>
            <w:shd w:fill="F5F7FA" w:color="auto" w:val="clear"/>
            <w:tcMar>
              <w:top w:type="dxa" w:w="50"/>
              <w:left w:type="dxa" w:w="90"/>
              <w:bottom w:type="dxa" w:w="50"/>
              <w:right w:type="dxa" w:w="90"/>
            </w:tcMar>
          </w:tcPr>
          <w:p>
            <w:pPr>
              <w:jc w:val="right"/>
            </w:pPr>
            <w:r>
              <w:rPr>
                <w:b w:val="false"/>
                <w:bCs w:val="false"/>
                <w:sz w:val="18"/>
                <w:szCs w:val="18"/>
              </w:rPr>
              <w:t xml:space="preserve">$115K</w:t>
            </w:r>
          </w:p>
        </w:tc>
      </w:tr>
      <w:tr>
        <w:tc>
          <w:tcPr>
            <w:tcW w:type="dxa" w:w="3360"/>
            <w:shd w:fill="FFFFFF" w:color="auto" w:val="clear"/>
            <w:tcMar>
              <w:top w:type="dxa" w:w="50"/>
              <w:left w:type="dxa" w:w="90"/>
              <w:bottom w:type="dxa" w:w="50"/>
              <w:right w:type="dxa" w:w="90"/>
            </w:tcMar>
          </w:tcPr>
          <w:p>
            <w:pPr>
              <w:jc w:val="left"/>
            </w:pPr>
            <w:r>
              <w:rPr>
                <w:b w:val="false"/>
                <w:bCs w:val="false"/>
                <w:sz w:val="18"/>
                <w:szCs w:val="18"/>
              </w:rPr>
              <w:t xml:space="preserve">Washington State University</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$24.0M</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112</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$214K</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$58K</w:t>
            </w:r>
          </w:p>
        </w:tc>
      </w:tr>
      <w:tr>
        <w:tc>
          <w:tcPr>
            <w:tcW w:type="dxa" w:w="3360"/>
            <w:shd w:fill="E8EEF7" w:color="auto" w:val="clear"/>
            <w:tcMar>
              <w:top w:type="dxa" w:w="50"/>
              <w:left w:type="dxa" w:w="90"/>
              <w:bottom w:type="dxa" w:w="50"/>
              <w:right w:type="dxa" w:w="90"/>
            </w:tcMar>
          </w:tcPr>
          <w:p>
            <w:pPr>
              <w:jc w:val="left"/>
            </w:pPr>
            <w:r>
              <w:rPr>
                <w:b/>
                <w:bCs/>
                <w:sz w:val="18"/>
                <w:szCs w:val="18"/>
              </w:rPr>
              <w:t xml:space="preserve">University of Virginia</w:t>
            </w:r>
          </w:p>
        </w:tc>
        <w:tc>
          <w:tcPr>
            <w:tcW w:type="dxa" w:w="1500"/>
            <w:shd w:fill="E8EEF7" w:color="auto" w:val="clear"/>
            <w:tcMar>
              <w:top w:type="dxa" w:w="50"/>
              <w:left w:type="dxa" w:w="90"/>
              <w:bottom w:type="dxa" w:w="50"/>
              <w:right w:type="dxa" w:w="90"/>
            </w:tcMar>
          </w:tcPr>
          <w:p>
            <w:pPr>
              <w:jc w:val="right"/>
            </w:pPr>
            <w:r>
              <w:rPr>
                <w:b/>
                <w:bCs/>
                <w:sz w:val="18"/>
                <w:szCs w:val="18"/>
              </w:rPr>
              <w:t xml:space="preserve">$22.2M</w:t>
            </w:r>
          </w:p>
        </w:tc>
        <w:tc>
          <w:tcPr>
            <w:tcW w:type="dxa" w:w="1500"/>
            <w:shd w:fill="E8EEF7" w:color="auto" w:val="clear"/>
            <w:tcMar>
              <w:top w:type="dxa" w:w="50"/>
              <w:left w:type="dxa" w:w="90"/>
              <w:bottom w:type="dxa" w:w="50"/>
              <w:right w:type="dxa" w:w="90"/>
            </w:tcMar>
          </w:tcPr>
          <w:p>
            <w:pPr>
              <w:jc w:val="right"/>
            </w:pPr>
            <w:r>
              <w:rPr>
                <w:b/>
                <w:bCs/>
                <w:sz w:val="18"/>
                <w:szCs w:val="18"/>
              </w:rPr>
              <w:t xml:space="preserve">98</w:t>
            </w:r>
          </w:p>
        </w:tc>
        <w:tc>
          <w:tcPr>
            <w:tcW w:type="dxa" w:w="1500"/>
            <w:shd w:fill="E8EEF7" w:color="auto" w:val="clear"/>
            <w:tcMar>
              <w:top w:type="dxa" w:w="50"/>
              <w:left w:type="dxa" w:w="90"/>
              <w:bottom w:type="dxa" w:w="50"/>
              <w:right w:type="dxa" w:w="90"/>
            </w:tcMar>
          </w:tcPr>
          <w:p>
            <w:pPr>
              <w:jc w:val="right"/>
            </w:pPr>
            <w:r>
              <w:rPr>
                <w:b/>
                <w:bCs/>
                <w:sz w:val="18"/>
                <w:szCs w:val="18"/>
              </w:rPr>
              <w:t xml:space="preserve">$226K</w:t>
            </w:r>
          </w:p>
        </w:tc>
        <w:tc>
          <w:tcPr>
            <w:tcW w:type="dxa" w:w="1500"/>
            <w:shd w:fill="E8EEF7" w:color="auto" w:val="clear"/>
            <w:tcMar>
              <w:top w:type="dxa" w:w="50"/>
              <w:left w:type="dxa" w:w="90"/>
              <w:bottom w:type="dxa" w:w="50"/>
              <w:right w:type="dxa" w:w="90"/>
            </w:tcMar>
          </w:tcPr>
          <w:p>
            <w:pPr>
              <w:jc w:val="right"/>
            </w:pPr>
            <w:r>
              <w:rPr>
                <w:b/>
                <w:bCs/>
                <w:sz w:val="18"/>
                <w:szCs w:val="18"/>
              </w:rPr>
              <w:t xml:space="preserve">$81K</w:t>
            </w:r>
          </w:p>
        </w:tc>
      </w:tr>
      <w:tr>
        <w:tc>
          <w:tcPr>
            <w:tcW w:type="dxa" w:w="3360"/>
            <w:shd w:fill="FFFFFF" w:color="auto" w:val="clear"/>
            <w:tcMar>
              <w:top w:type="dxa" w:w="50"/>
              <w:left w:type="dxa" w:w="90"/>
              <w:bottom w:type="dxa" w:w="50"/>
              <w:right w:type="dxa" w:w="90"/>
            </w:tcMar>
          </w:tcPr>
          <w:p>
            <w:pPr>
              <w:jc w:val="left"/>
            </w:pPr>
            <w:r>
              <w:rPr>
                <w:b w:val="false"/>
                <w:bCs w:val="false"/>
                <w:sz w:val="18"/>
                <w:szCs w:val="18"/>
              </w:rPr>
              <w:t xml:space="preserve">University of Georgia</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$17.8M</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124</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$144K</w:t>
            </w:r>
          </w:p>
        </w:tc>
        <w:tc>
          <w:tcPr>
            <w:tcW w:type="dxa" w:w="1500"/>
            <w:shd w:fill="FFFFFF" w:color="auto" w:val="clear"/>
            <w:tcMar>
              <w:top w:type="dxa" w:w="50"/>
              <w:left w:type="dxa" w:w="90"/>
              <w:bottom w:type="dxa" w:w="50"/>
              <w:right w:type="dxa" w:w="90"/>
            </w:tcMar>
          </w:tcPr>
          <w:p>
            <w:pPr>
              <w:jc w:val="right"/>
            </w:pPr>
            <w:r>
              <w:rPr>
                <w:b w:val="false"/>
                <w:bCs w:val="false"/>
                <w:sz w:val="18"/>
                <w:szCs w:val="18"/>
              </w:rPr>
              <w:t xml:space="preserve">$52K</w:t>
            </w:r>
          </w:p>
        </w:tc>
      </w:tr>
    </w:tbl>
    <w:p>
      <w:pPr>
        <w:spacing w:after="200" w:before="60"/>
      </w:pPr>
      <w:r>
        <w:rPr>
          <w:i/>
          <w:iCs/>
          <w:color w:val="666666"/>
          <w:sz w:val="16"/>
          <w:szCs w:val="16"/>
        </w:rPr>
        <w:t xml:space="preserve">Figures are rounded; peer set selected via standardized-distance similarity to UVA. Replace with your final figures from the notebook.</w:t>
      </w:r>
    </w:p>
    <w:p>
      <w:pPr>
        <w:pStyle w:val="Heading1"/>
        <w:spacing w:after="140" w:before="320"/>
      </w:pPr>
      <w:r>
        <w:rPr>
          <w:b/>
          <w:bCs/>
          <w:color w:val="1F3864"/>
          <w:sz w:val="28"/>
          <w:szCs w:val="28"/>
        </w:rPr>
        <w:t xml:space="preserve">3.  Strategy for New Funding Sources</w:t>
      </w:r>
    </w:p>
    <w:p>
      <w:pPr>
        <w:spacing w:after="160" w:line="276"/>
        <w:jc w:val="both"/>
      </w:pPr>
      <w:r>
        <w:rPr>
          <w:sz w:val="22"/>
          <w:szCs w:val="22"/>
        </w:rPr>
        <w:t xml:space="preserve">The recommended strategy is a </w:t>
      </w:r>
      <w:r>
        <w:rPr>
          <w:b/>
          <w:bCs/>
          <w:sz w:val="22"/>
          <w:szCs w:val="22"/>
        </w:rPr>
        <w:t xml:space="preserve">gap analysis against comparable peers</w:t>
      </w:r>
      <w:r>
        <w:rPr>
          <w:sz w:val="22"/>
          <w:szCs w:val="22"/>
        </w:rPr>
        <w:t xml:space="preserve">: rather than guessing at prospects, compare the countries and organizations funding UVA's data-driven national peers against UVA's own donor list, and flag the countries where peers succeed but UVA has little or no recorded funding. This grounds prospecting in the demonstrated behavior of similar institutions rather than in speculation.</w:t>
      </w:r>
    </w:p>
    <w:p>
      <w:pPr>
        <w:spacing w:after="160" w:line="276"/>
        <w:jc w:val="both"/>
      </w:pPr>
      <w:r>
        <w:rPr>
          <w:sz w:val="22"/>
          <w:szCs w:val="22"/>
        </w:rPr>
        <w:t xml:space="preserve">Applying this method, the largest country-level gaps appear for </w:t>
      </w:r>
      <w:r>
        <w:rPr>
          <w:b/>
          <w:bCs/>
          <w:sz w:val="22"/>
          <w:szCs w:val="22"/>
        </w:rPr>
        <w:t xml:space="preserve">Saudi Arabia</w:t>
      </w:r>
      <w:r>
        <w:rPr>
          <w:sz w:val="22"/>
          <w:szCs w:val="22"/>
        </w:rPr>
        <w:t xml:space="preserve"> (peers ~$31.8M vs. UVA $0), </w:t>
      </w:r>
      <w:r>
        <w:rPr>
          <w:b/>
          <w:bCs/>
          <w:sz w:val="22"/>
          <w:szCs w:val="22"/>
        </w:rPr>
        <w:t xml:space="preserve">Japan</w:t>
      </w:r>
      <w:r>
        <w:rPr>
          <w:sz w:val="22"/>
          <w:szCs w:val="22"/>
        </w:rPr>
        <w:t xml:space="preserve"> (~$24.4M vs. ~$266K), and a cluster of Gulf and European states including </w:t>
      </w:r>
      <w:r>
        <w:rPr>
          <w:b/>
          <w:bCs/>
          <w:sz w:val="22"/>
          <w:szCs w:val="22"/>
        </w:rPr>
        <w:t xml:space="preserve">Oman, the United Arab Emirates, Kuwait, England, Switzerland, and Germany</w:t>
      </w:r>
      <w:r>
        <w:rPr>
          <w:sz w:val="22"/>
          <w:szCs w:val="22"/>
        </w:rPr>
        <w:t xml:space="preserve">. Because these totals mix contracts and gifts, the analysis was narrowed to </w:t>
      </w:r>
      <w:r>
        <w:rPr>
          <w:b/>
          <w:bCs/>
          <w:sz w:val="22"/>
          <w:szCs w:val="22"/>
        </w:rPr>
        <w:t xml:space="preserve">monetary gifts</w:t>
      </w:r>
      <w:r>
        <w:rPr>
          <w:sz w:val="22"/>
          <w:szCs w:val="22"/>
        </w:rPr>
        <w:t xml:space="preserve"> to isolate genuine philanthropic prospects.</w:t>
      </w:r>
    </w:p>
    <w:p>
      <w:pPr>
        <w:spacing w:after="160" w:line="276"/>
        <w:jc w:val="both"/>
      </w:pPr>
      <w:r>
        <w:rPr>
          <w:sz w:val="22"/>
          <w:szCs w:val="22"/>
        </w:rPr>
        <w:t xml:space="preserve">At the donor level, the gaps are driven by identifiable organizations rather than diffuse small gifts. Peer relationships worth examining as models include the </w:t>
      </w:r>
      <w:r>
        <w:rPr>
          <w:b/>
          <w:bCs/>
          <w:sz w:val="22"/>
          <w:szCs w:val="22"/>
        </w:rPr>
        <w:t xml:space="preserve">Saudi Arabian Cultural Mission</w:t>
      </w:r>
      <w:r>
        <w:rPr>
          <w:sz w:val="22"/>
          <w:szCs w:val="22"/>
        </w:rPr>
        <w:t xml:space="preserve"> (multiple large gifts to Oregon State and the University of Kansas), </w:t>
      </w:r>
      <w:r>
        <w:rPr>
          <w:b/>
          <w:bCs/>
          <w:sz w:val="22"/>
          <w:szCs w:val="22"/>
        </w:rPr>
        <w:t xml:space="preserve">Mitsubishi Chemical Corporation</w:t>
      </w:r>
      <w:r>
        <w:rPr>
          <w:sz w:val="22"/>
          <w:szCs w:val="22"/>
        </w:rPr>
        <w:t xml:space="preserve"> and the </w:t>
      </w:r>
      <w:r>
        <w:rPr>
          <w:b/>
          <w:bCs/>
          <w:sz w:val="22"/>
          <w:szCs w:val="22"/>
        </w:rPr>
        <w:t xml:space="preserve">National Diet Library of Japan</w:t>
      </w:r>
      <w:r>
        <w:rPr>
          <w:sz w:val="22"/>
          <w:szCs w:val="22"/>
        </w:rPr>
        <w:t xml:space="preserve">, the </w:t>
      </w:r>
      <w:r>
        <w:rPr>
          <w:b/>
          <w:bCs/>
          <w:sz w:val="22"/>
          <w:szCs w:val="22"/>
        </w:rPr>
        <w:t xml:space="preserve">Embassy of Kuwait Cultural Division</w:t>
      </w:r>
      <w:r>
        <w:rPr>
          <w:sz w:val="22"/>
          <w:szCs w:val="22"/>
        </w:rPr>
        <w:t xml:space="preserve">, and the </w:t>
      </w:r>
      <w:r>
        <w:rPr>
          <w:b/>
          <w:bCs/>
          <w:sz w:val="22"/>
          <w:szCs w:val="22"/>
        </w:rPr>
        <w:t xml:space="preserve">Children's Investment Fund Foundation</w:t>
      </w:r>
      <w:r>
        <w:rPr>
          <w:sz w:val="22"/>
          <w:szCs w:val="22"/>
        </w:rPr>
        <w:t xml:space="preserve">. UVA should prioritize Saudi Arabia and Japan for further development research, focusing on the mission-, embassy-, and foundation-type donors that already fund peers, while recognizing that the dataset does not reveal each gift's purpose, restrictions, or the relationships behind it.</w:t>
      </w:r>
    </w:p>
    <w:p>
      <w:pPr>
        <w:pStyle w:val="Heading1"/>
        <w:spacing w:after="140" w:before="320"/>
      </w:pPr>
      <w:r>
        <w:rPr>
          <w:b/>
          <w:bCs/>
          <w:color w:val="1F3864"/>
          <w:sz w:val="28"/>
          <w:szCs w:val="28"/>
        </w:rPr>
        <w:t xml:space="preserve">4.  Conclusion: UVA's Prospects</w:t>
      </w:r>
    </w:p>
    <w:p>
      <w:pPr>
        <w:spacing w:after="160" w:line="276"/>
        <w:jc w:val="both"/>
      </w:pPr>
      <w:r>
        <w:rPr>
          <w:sz w:val="22"/>
          <w:szCs w:val="22"/>
        </w:rPr>
        <w:t xml:space="preserve">UVA's foreign-funding profile is solid but not exceptional within its peer group: mid-pack in total dollars and record count, with a comparatively strong median gift that suggests its typical transactions are substantial. The clearest path to growth is not incremental increases from existing partners but </w:t>
      </w:r>
      <w:r>
        <w:rPr>
          <w:b/>
          <w:bCs/>
          <w:sz w:val="22"/>
          <w:szCs w:val="22"/>
        </w:rPr>
        <w:t xml:space="preserve">closing well-defined country gaps</w:t>
      </w:r>
      <w:r>
        <w:rPr>
          <w:sz w:val="22"/>
          <w:szCs w:val="22"/>
        </w:rPr>
        <w:t xml:space="preserve"> where peers already succeed — Saudi Arabia and Japan foremost among them. These are best treated as </w:t>
      </w:r>
      <w:r>
        <w:rPr>
          <w:b/>
          <w:bCs/>
          <w:sz w:val="22"/>
          <w:szCs w:val="22"/>
        </w:rPr>
        <w:t xml:space="preserve">prospects for further investigation rather than guaranteed opportunities</w:t>
      </w:r>
      <w:r>
        <w:rPr>
          <w:sz w:val="22"/>
          <w:szCs w:val="22"/>
        </w:rPr>
        <w:t xml:space="preserve">, since converting them depends on relationships, institutional fit, and strategic priorities the data cannot capture. With targeted development research into the specific organizations driving peer success, UVA has a credible, evidence-based route to expanding its foreign giving over time.</w:t>
      </w:r>
    </w:p>
    <w:p>
      <w:pPr>
        <w:spacing w:before="200"/>
      </w:pPr>
    </w:p>
    <w:tbl>
      <w:tblPr>
        <w:tblW w:type="dxa" w:w="9360"/>
        <w:tblBorders>
          <w:top w:val="single" w:color="E8EEF7" w:sz="2"/>
          <w:left w:val="single" w:color="2E5496" w:sz="36"/>
          <w:bottom w:val="single" w:color="E8EEF7" w:sz="2"/>
          <w:right w:val="single" w:color="E8EEF7" w:sz="2"/>
          <w:insideH w:val="none"/>
          <w:insideV w:val="none"/>
        </w:tblBorders>
      </w:tblPr>
      <w:tblGrid>
        <w:gridCol w:w="9360"/>
      </w:tblGrid>
      <w:tr>
        <w:tc>
          <w:tcPr>
            <w:tcW w:type="dxa" w:w="9360"/>
            <w:shd w:fill="E8EEF7" w:color="auto" w:val="clear"/>
            <w:tcMar>
              <w:top w:type="dxa" w:w="140"/>
              <w:left w:type="dxa" w:w="200"/>
              <w:bottom w:type="dxa" w:w="140"/>
              <w:right w:type="dxa" w:w="200"/>
            </w:tcMar>
          </w:tcPr>
          <w:p>
            <w:pPr>
              <w:spacing w:after="80"/>
            </w:pPr>
            <w:r>
              <w:rPr>
                <w:b/>
                <w:bCs/>
                <w:color w:val="1F3864"/>
                <w:sz w:val="22"/>
                <w:szCs w:val="22"/>
              </w:rPr>
              <w:t xml:space="preserve">Note on Methodology &amp; AI Assistance</w:t>
            </w:r>
          </w:p>
          <w:p>
            <w:pPr>
              <w:spacing w:after="60" w:line="260"/>
            </w:pPr>
            <w:r>
              <w:rPr>
                <w:sz w:val="20"/>
                <w:szCs w:val="20"/>
              </w:rPr>
              <w:t xml:space="preserve">Peer institutions were selected using a data-driven similarity measure (standardized Euclidean distance across total funding, record count, average gift, and median gift), then reviewed for higher-education comparability.</w:t>
            </w:r>
          </w:p>
          <w:p>
            <w:pPr>
              <w:spacing w:after="60" w:line="260"/>
            </w:pPr>
            <w:r>
              <w:rPr>
                <w:sz w:val="20"/>
                <w:szCs w:val="20"/>
              </w:rPr>
              <w:t xml:space="preserve">AI assistance (ChatGPT, OpenAI) was used for guidance on the StandardScaler standardization approach. Citation: OpenAI. (2026). ChatGPT [Large language model]. https://chatgpt.com/</w:t>
            </w:r>
          </w:p>
          <w:p>
            <w:pPr>
              <w:spacing w:after="60" w:line="260"/>
            </w:pPr>
            <w:r>
              <w:rPr>
                <w:sz w:val="20"/>
                <w:szCs w:val="20"/>
              </w:rPr>
              <w:t xml:space="preserve">[Add any additional AI-assistance disclosure required by your course here.]</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666666"/>
        <w:sz w:val="16"/>
        <w:szCs w:val="16"/>
      </w:rPr>
      <w:t xml:space="preserve">Foreign Gift Analysis — University of Virginia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2026-09-04T02:37:34.711Z</dcterms:created>
  <dcterms:modified xsi:type="dcterms:W3CDTF">2026-09-04T02:37:34.722Z</dcterms:modified>
</cp:coreProperties>
</file>

<file path=docProps/custom.xml><?xml version="1.0" encoding="utf-8"?>
<Properties xmlns="http://schemas.openxmlformats.org/officeDocument/2006/custom-properties" xmlns:vt="http://schemas.openxmlformats.org/officeDocument/2006/docPropsVTypes"/>
</file>